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114AF" w14:textId="323A5E28" w:rsidR="00810D6C" w:rsidRPr="00B5257B" w:rsidRDefault="00810D6C" w:rsidP="00810D6C">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B5257B" w:rsidRPr="00B5257B">
        <w:rPr>
          <w:rFonts w:ascii="Arial" w:hAnsi="Arial" w:cs="Arial"/>
          <w:b/>
          <w:bCs/>
        </w:rPr>
        <w:t xml:space="preserve">       </w:t>
      </w:r>
      <w:r w:rsidR="00075A58" w:rsidRPr="00AE7AD7">
        <w:rPr>
          <w:rFonts w:ascii="Arial" w:hAnsi="Arial" w:cs="Arial"/>
          <w:b/>
          <w:bCs/>
        </w:rPr>
        <w:t>R1-190734</w:t>
      </w:r>
      <w:r w:rsidR="00075A58">
        <w:rPr>
          <w:rFonts w:ascii="Arial" w:hAnsi="Arial" w:cs="Arial"/>
          <w:b/>
          <w:bCs/>
        </w:rPr>
        <w:t>3</w:t>
      </w:r>
      <w:bookmarkStart w:id="0" w:name="_GoBack"/>
      <w:bookmarkEnd w:id="0"/>
    </w:p>
    <w:p w14:paraId="77435DB4" w14:textId="77777777" w:rsidR="00810D6C" w:rsidRPr="00B5257B" w:rsidRDefault="00810D6C" w:rsidP="00810D6C">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084612D7"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640215">
        <w:rPr>
          <w:sz w:val="22"/>
          <w:szCs w:val="22"/>
        </w:rPr>
        <w:t>3</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65C81CF" w14:textId="5F3A945D" w:rsidR="00192E43" w:rsidRDefault="003D3C45" w:rsidP="00396685">
      <w:pPr>
        <w:pStyle w:val="3GPPHeader"/>
        <w:rPr>
          <w:sz w:val="22"/>
          <w:szCs w:val="22"/>
        </w:rPr>
      </w:pPr>
      <w:r w:rsidRPr="00315C6E">
        <w:rPr>
          <w:sz w:val="22"/>
          <w:szCs w:val="22"/>
        </w:rPr>
        <w:t>Title:</w:t>
      </w:r>
      <w:r w:rsidR="00E90E49" w:rsidRPr="00315C6E">
        <w:rPr>
          <w:sz w:val="22"/>
          <w:szCs w:val="22"/>
        </w:rPr>
        <w:tab/>
      </w:r>
      <w:r w:rsidR="00BD7B8C" w:rsidRPr="00AD32DD">
        <w:rPr>
          <w:sz w:val="22"/>
          <w:szCs w:val="22"/>
        </w:rPr>
        <w:t>Considerations on multi-panel and MPE in FR2</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28652394"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Among the scope, beam management enhancement 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E274611" w14:textId="72400DB0" w:rsidR="006B5825" w:rsidRPr="00FA73CB" w:rsidRDefault="00146296" w:rsidP="00FA73CB">
      <w:pPr>
        <w:tabs>
          <w:tab w:val="left" w:pos="7119"/>
        </w:tabs>
        <w:rPr>
          <w:rFonts w:eastAsia="MS Mincho"/>
          <w:lang w:eastAsia="ja-JP"/>
        </w:rPr>
      </w:pPr>
      <w:r w:rsidRPr="00FA73CB">
        <w:rPr>
          <w:rFonts w:eastAsia="MS Mincho"/>
          <w:lang w:eastAsia="ja-JP"/>
        </w:rPr>
        <w:tab/>
      </w:r>
    </w:p>
    <w:p w14:paraId="29AB883B" w14:textId="281EB950" w:rsidR="00146296" w:rsidRDefault="00E34B61" w:rsidP="00146296">
      <w:pPr>
        <w:rPr>
          <w:rFonts w:eastAsia="SimSun"/>
          <w:sz w:val="20"/>
          <w:szCs w:val="20"/>
        </w:rPr>
      </w:pPr>
      <w:r>
        <w:rPr>
          <w:rFonts w:eastAsia="SimSun"/>
          <w:sz w:val="20"/>
          <w:szCs w:val="20"/>
        </w:rPr>
        <w:t>One</w:t>
      </w:r>
      <w:r w:rsidR="00146296">
        <w:rPr>
          <w:rFonts w:eastAsia="SimSun"/>
          <w:sz w:val="20"/>
          <w:szCs w:val="20"/>
        </w:rPr>
        <w:t xml:space="preserve"> important topic that RAN1 needs to consider is MPE (</w:t>
      </w:r>
      <w:r w:rsidR="00146296" w:rsidRPr="00146296">
        <w:rPr>
          <w:rFonts w:eastAsia="SimSun"/>
          <w:sz w:val="20"/>
          <w:szCs w:val="20"/>
        </w:rPr>
        <w:t>Maximum Permissible Exposure</w:t>
      </w:r>
      <w:r w:rsidR="00146296">
        <w:rPr>
          <w:rFonts w:eastAsia="SimSun"/>
          <w:sz w:val="20"/>
          <w:szCs w:val="20"/>
        </w:rPr>
        <w:t>)</w:t>
      </w:r>
      <w:r w:rsidR="00824A93">
        <w:rPr>
          <w:rFonts w:eastAsia="SimSun"/>
          <w:sz w:val="20"/>
          <w:szCs w:val="20"/>
        </w:rPr>
        <w:t>.</w:t>
      </w:r>
      <w:r w:rsidR="00146296">
        <w:rPr>
          <w:rFonts w:eastAsia="SimSun"/>
          <w:sz w:val="20"/>
          <w:szCs w:val="20"/>
        </w:rPr>
        <w:t xml:space="preserve"> </w:t>
      </w:r>
      <w:r w:rsidR="00146296" w:rsidRPr="008A363E">
        <w:rPr>
          <w:rFonts w:eastAsia="SimSun"/>
          <w:sz w:val="20"/>
          <w:szCs w:val="20"/>
        </w:rPr>
        <w:t>Considering the safety of mmWave radiation exposure to the human body, the FCC and other regulatory institutes have defined the maximum permissible exposure as the power density in terms of W/m</w:t>
      </w:r>
      <w:r w:rsidR="00146296" w:rsidRPr="008A363E">
        <w:rPr>
          <w:rFonts w:eastAsia="SimSun"/>
          <w:sz w:val="20"/>
          <w:szCs w:val="20"/>
          <w:vertAlign w:val="superscript"/>
        </w:rPr>
        <w:t>2</w:t>
      </w:r>
      <w:r w:rsidR="00146296" w:rsidRPr="008A363E">
        <w:rPr>
          <w:rFonts w:eastAsia="SimSun"/>
          <w:sz w:val="20"/>
          <w:szCs w:val="20"/>
        </w:rPr>
        <w:t>.</w:t>
      </w:r>
      <w:r w:rsidR="00E06F14">
        <w:rPr>
          <w:rFonts w:eastAsia="SimSun"/>
          <w:sz w:val="20"/>
          <w:szCs w:val="20"/>
        </w:rPr>
        <w:t xml:space="preserve"> </w:t>
      </w:r>
      <w:r w:rsidR="00146296" w:rsidRPr="008A363E">
        <w:rPr>
          <w:rFonts w:eastAsia="SimSun"/>
          <w:sz w:val="20"/>
          <w:szCs w:val="20"/>
        </w:rPr>
        <w:t xml:space="preserve">A UE must reduce its transmit power when the human body is in proximity to be compliant with the requirement. </w:t>
      </w:r>
      <w:r w:rsidR="00820A6F">
        <w:rPr>
          <w:rFonts w:eastAsia="SimSun"/>
          <w:sz w:val="20"/>
          <w:szCs w:val="20"/>
        </w:rPr>
        <w:t xml:space="preserve">It is important to take MPE regulation into consideration when RAN1design the beam management procedures </w:t>
      </w:r>
    </w:p>
    <w:p w14:paraId="7DDE03B4" w14:textId="77777777" w:rsidR="00AC0D3A" w:rsidRDefault="00AC0D3A" w:rsidP="00146296">
      <w:pPr>
        <w:rPr>
          <w:rFonts w:eastAsia="SimSun"/>
          <w:sz w:val="20"/>
          <w:szCs w:val="20"/>
        </w:rPr>
      </w:pPr>
    </w:p>
    <w:p w14:paraId="02071EF8" w14:textId="0BA3D4BF" w:rsidR="00AC0D3A" w:rsidRDefault="00AC0D3A" w:rsidP="00AC0D3A">
      <w:pPr>
        <w:jc w:val="both"/>
        <w:rPr>
          <w:sz w:val="20"/>
          <w:szCs w:val="20"/>
        </w:rPr>
      </w:pPr>
      <w:r>
        <w:rPr>
          <w:rFonts w:eastAsia="SimSun"/>
          <w:sz w:val="20"/>
          <w:szCs w:val="20"/>
        </w:rPr>
        <w:lastRenderedPageBreak/>
        <w:t>Another</w:t>
      </w:r>
      <w:r w:rsidRPr="00AC0D3A">
        <w:rPr>
          <w:sz w:val="20"/>
          <w:szCs w:val="20"/>
        </w:rPr>
        <w:t xml:space="preserve"> </w:t>
      </w:r>
      <w:r>
        <w:rPr>
          <w:sz w:val="20"/>
          <w:szCs w:val="20"/>
        </w:rPr>
        <w:t xml:space="preserve">important topic that RAN1 needs to design is to “reduce latency and overhead”. The main purpose of beam measurement and reporting is to track the beam change due to various reasons, such as UE movement, UE rotation, obstacle passing by, etc. Therefore, beam measurement and reporting have the following requirement we </w:t>
      </w:r>
      <w:r w:rsidR="00916E29">
        <w:rPr>
          <w:sz w:val="20"/>
          <w:szCs w:val="20"/>
        </w:rPr>
        <w:t>have</w:t>
      </w:r>
      <w:r>
        <w:rPr>
          <w:sz w:val="20"/>
          <w:szCs w:val="20"/>
        </w:rPr>
        <w:t xml:space="preserve"> not been adequately address in Rel-15</w:t>
      </w:r>
    </w:p>
    <w:p w14:paraId="663BBFBF" w14:textId="77777777" w:rsidR="00AC0D3A" w:rsidRDefault="00AC0D3A" w:rsidP="00AC0D3A">
      <w:pPr>
        <w:jc w:val="both"/>
        <w:rPr>
          <w:sz w:val="20"/>
          <w:szCs w:val="20"/>
        </w:rPr>
      </w:pPr>
    </w:p>
    <w:p w14:paraId="1D37F050" w14:textId="77777777" w:rsidR="00AC0D3A" w:rsidRPr="000E2D0E" w:rsidRDefault="00AC0D3A" w:rsidP="00AC0D3A">
      <w:pPr>
        <w:pStyle w:val="ListParagraph"/>
        <w:numPr>
          <w:ilvl w:val="0"/>
          <w:numId w:val="28"/>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060AE317" w14:textId="77777777" w:rsidR="00AC0D3A" w:rsidRDefault="00AC0D3A" w:rsidP="00AC0D3A">
      <w:pPr>
        <w:pStyle w:val="ListParagraph"/>
        <w:numPr>
          <w:ilvl w:val="0"/>
          <w:numId w:val="28"/>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Pr>
          <w:rFonts w:ascii="Times New Roman" w:eastAsia="Malgun Gothic" w:hAnsi="Times New Roman"/>
          <w:sz w:val="20"/>
          <w:szCs w:val="20"/>
          <w:lang w:eastAsia="zh-CN"/>
        </w:rPr>
        <w:t>various</w:t>
      </w:r>
      <w:r w:rsidRPr="000E2D0E">
        <w:rPr>
          <w:rFonts w:ascii="Times New Roman" w:eastAsia="Malgun Gothic" w:hAnsi="Times New Roman"/>
          <w:sz w:val="20"/>
          <w:szCs w:val="20"/>
          <w:lang w:eastAsia="zh-CN"/>
        </w:rPr>
        <w:t xml:space="preserve"> mobility situation</w:t>
      </w:r>
      <w:r>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071226D9" w14:textId="77777777" w:rsidR="00146296" w:rsidRDefault="00146296" w:rsidP="00146296">
      <w:pPr>
        <w:rPr>
          <w:rFonts w:eastAsia="MS Mincho"/>
          <w:sz w:val="22"/>
          <w:lang w:eastAsia="ja-JP"/>
        </w:rPr>
      </w:pPr>
    </w:p>
    <w:p w14:paraId="37921F6D" w14:textId="1467C68C" w:rsidR="001F5196" w:rsidRDefault="006B5825" w:rsidP="006B5825">
      <w:pPr>
        <w:rPr>
          <w:rFonts w:eastAsia="MS Mincho"/>
          <w:sz w:val="22"/>
          <w:lang w:eastAsia="ja-JP"/>
        </w:rPr>
      </w:pPr>
      <w:r w:rsidRPr="00146387">
        <w:rPr>
          <w:rFonts w:eastAsia="MS Mincho"/>
          <w:sz w:val="22"/>
          <w:lang w:eastAsia="ja-JP"/>
        </w:rPr>
        <w:t>In this contribution, we provide our view on</w:t>
      </w:r>
      <w:r w:rsidR="003B0AD4">
        <w:rPr>
          <w:rFonts w:eastAsia="MS Mincho"/>
          <w:sz w:val="22"/>
          <w:lang w:eastAsia="ja-JP"/>
        </w:rPr>
        <w:t xml:space="preserve"> </w:t>
      </w:r>
      <w:r w:rsidRPr="00146387">
        <w:rPr>
          <w:rFonts w:eastAsia="MS Mincho"/>
          <w:sz w:val="22"/>
          <w:lang w:eastAsia="ja-JP"/>
        </w:rPr>
        <w:t xml:space="preserve">Rel-16 MIMO enhancement WI </w:t>
      </w:r>
      <w:r w:rsidR="00BC2D24">
        <w:rPr>
          <w:rFonts w:eastAsia="MS Mincho"/>
          <w:sz w:val="22"/>
          <w:lang w:eastAsia="ja-JP"/>
        </w:rPr>
        <w:t xml:space="preserve">including </w:t>
      </w:r>
      <w:r w:rsidR="002D0029">
        <w:rPr>
          <w:rFonts w:eastAsia="MS Mincho"/>
          <w:sz w:val="22"/>
          <w:lang w:eastAsia="ja-JP"/>
        </w:rPr>
        <w:t>the MPE issue</w:t>
      </w:r>
      <w:r w:rsidR="00BC2D24">
        <w:rPr>
          <w:rFonts w:eastAsia="MS Mincho"/>
          <w:sz w:val="22"/>
          <w:lang w:eastAsia="ja-JP"/>
        </w:rPr>
        <w:t xml:space="preserve">, </w:t>
      </w:r>
      <w:r w:rsidR="00AC0D3A">
        <w:rPr>
          <w:rFonts w:eastAsia="MS Mincho"/>
          <w:sz w:val="22"/>
          <w:lang w:eastAsia="ja-JP"/>
        </w:rPr>
        <w:t xml:space="preserve">mechanism to reduce beam management latency and overhead and </w:t>
      </w:r>
      <w:r w:rsidR="00BC2D24">
        <w:rPr>
          <w:rFonts w:eastAsia="MS Mincho"/>
          <w:sz w:val="22"/>
          <w:lang w:eastAsia="ja-JP"/>
        </w:rPr>
        <w:t xml:space="preserve">SCell BFR </w:t>
      </w:r>
      <w:r w:rsidR="002D0029">
        <w:rPr>
          <w:rFonts w:eastAsia="MS Mincho"/>
          <w:sz w:val="22"/>
          <w:lang w:eastAsia="ja-JP"/>
        </w:rPr>
        <w:t>.</w:t>
      </w:r>
    </w:p>
    <w:p w14:paraId="593DB8A2" w14:textId="3F5921E8" w:rsidR="00ED357C" w:rsidRDefault="00ED357C" w:rsidP="00154087">
      <w:pPr>
        <w:pStyle w:val="Heading1"/>
      </w:pPr>
      <w:r>
        <w:t>View on MPE issue</w:t>
      </w:r>
    </w:p>
    <w:p w14:paraId="59249B02" w14:textId="77777777" w:rsidR="00981043" w:rsidRPr="00D52DCE" w:rsidRDefault="00981043" w:rsidP="00981043">
      <w:pPr>
        <w:rPr>
          <w:rFonts w:eastAsia="SimSun"/>
          <w:sz w:val="22"/>
          <w:szCs w:val="20"/>
        </w:rPr>
      </w:pPr>
      <w:r w:rsidRPr="00D52DCE">
        <w:rPr>
          <w:rFonts w:eastAsia="SimSun"/>
          <w:sz w:val="22"/>
          <w:szCs w:val="20"/>
        </w:rPr>
        <w:t>Considering the safety of mmWave radiation exposure to the human body, the FCC and other regulatory institutes have defined the maximum permissible exposure as the power density in terms of W/m</w:t>
      </w:r>
      <w:r w:rsidRPr="00D52DCE">
        <w:rPr>
          <w:rFonts w:eastAsia="SimSun"/>
          <w:sz w:val="22"/>
          <w:szCs w:val="20"/>
          <w:vertAlign w:val="superscript"/>
        </w:rPr>
        <w:t>2</w:t>
      </w:r>
      <w:r w:rsidRPr="00D52DCE">
        <w:rPr>
          <w:rFonts w:eastAsia="SimSun"/>
          <w:sz w:val="22"/>
          <w:szCs w:val="20"/>
        </w:rPr>
        <w:t>.</w:t>
      </w:r>
    </w:p>
    <w:p w14:paraId="6C5B8EF7" w14:textId="77777777" w:rsidR="00981043" w:rsidRPr="00D52DCE" w:rsidRDefault="00981043" w:rsidP="00981043">
      <w:pPr>
        <w:jc w:val="center"/>
        <w:rPr>
          <w:b/>
          <w:sz w:val="22"/>
          <w:szCs w:val="20"/>
        </w:rPr>
      </w:pPr>
    </w:p>
    <w:p w14:paraId="0F888182" w14:textId="77777777" w:rsidR="00981043" w:rsidRPr="00D52DCE" w:rsidRDefault="00981043" w:rsidP="00981043">
      <w:pPr>
        <w:rPr>
          <w:rFonts w:eastAsia="SimSun"/>
          <w:sz w:val="22"/>
          <w:szCs w:val="20"/>
        </w:rPr>
      </w:pPr>
      <w:r w:rsidRPr="00D52DCE">
        <w:rPr>
          <w:rFonts w:eastAsia="SimSun"/>
          <w:sz w:val="22"/>
          <w:szCs w:val="20"/>
        </w:rPr>
        <w:t xml:space="preserve">A UE must reduce its transmit power when the human body is in proximity to be compliant with the requirement. The latest agreement in RAN4 is to introduce both P-PMR and </w:t>
      </w:r>
      <w:r w:rsidRPr="00D52DCE">
        <w:rPr>
          <w:rFonts w:eastAsia="SimSun"/>
          <w:i/>
          <w:sz w:val="22"/>
          <w:szCs w:val="20"/>
        </w:rPr>
        <w:t>maxUplinkDutyCycle</w:t>
      </w:r>
      <w:r w:rsidRPr="00D52DCE">
        <w:rPr>
          <w:rFonts w:eastAsia="SimSun"/>
          <w:sz w:val="22"/>
          <w:szCs w:val="20"/>
        </w:rPr>
        <w:t xml:space="preserve"> into the FR2 RF specification to trade off power reduction and duty cycle to achieve optimal operating points while maintaining compliance with exposure safety. The maximum value of P-MPR and the range of duty cycles are still under study in RAN4. According to the inputs from chipset vendors, P-MPR in excess of 15 dB may be needed for 2x2 mmWave array architectures, which can lead to significant degradation of network performance shown in Table1, and greatly impair the FR2 usability in real deployments. </w:t>
      </w:r>
    </w:p>
    <w:p w14:paraId="02DD21BC" w14:textId="77777777" w:rsidR="00981043" w:rsidRPr="00D52DCE" w:rsidRDefault="00981043" w:rsidP="00981043">
      <w:pPr>
        <w:jc w:val="center"/>
        <w:rPr>
          <w:b/>
          <w:sz w:val="22"/>
          <w:szCs w:val="20"/>
        </w:rPr>
      </w:pPr>
    </w:p>
    <w:p w14:paraId="7863E40A" w14:textId="77777777" w:rsidR="00981043" w:rsidRPr="00D52DCE" w:rsidRDefault="00981043" w:rsidP="00981043">
      <w:pPr>
        <w:jc w:val="center"/>
        <w:rPr>
          <w:b/>
          <w:sz w:val="22"/>
          <w:szCs w:val="20"/>
        </w:rPr>
      </w:pPr>
      <w:r w:rsidRPr="00D52DCE">
        <w:rPr>
          <w:b/>
          <w:sz w:val="22"/>
          <w:szCs w:val="20"/>
        </w:rPr>
        <w:t xml:space="preserve">Table </w:t>
      </w:r>
      <w:r w:rsidRPr="00D52DCE">
        <w:rPr>
          <w:b/>
          <w:noProof/>
          <w:sz w:val="22"/>
          <w:szCs w:val="20"/>
        </w:rPr>
        <w:fldChar w:fldCharType="begin"/>
      </w:r>
      <w:r w:rsidRPr="00D52DCE">
        <w:rPr>
          <w:b/>
          <w:noProof/>
          <w:sz w:val="22"/>
          <w:szCs w:val="20"/>
        </w:rPr>
        <w:instrText xml:space="preserve"> SEQ Table \* ARABIC </w:instrText>
      </w:r>
      <w:r w:rsidRPr="00D52DCE">
        <w:rPr>
          <w:b/>
          <w:noProof/>
          <w:sz w:val="22"/>
          <w:szCs w:val="20"/>
        </w:rPr>
        <w:fldChar w:fldCharType="separate"/>
      </w:r>
      <w:r w:rsidRPr="00D52DCE">
        <w:rPr>
          <w:b/>
          <w:noProof/>
          <w:sz w:val="22"/>
          <w:szCs w:val="20"/>
        </w:rPr>
        <w:t>1</w:t>
      </w:r>
      <w:r w:rsidRPr="00D52DCE">
        <w:rPr>
          <w:b/>
          <w:noProof/>
          <w:sz w:val="22"/>
          <w:szCs w:val="20"/>
        </w:rPr>
        <w:fldChar w:fldCharType="end"/>
      </w:r>
      <w:r w:rsidRPr="00D52DCE">
        <w:rPr>
          <w:b/>
          <w:sz w:val="22"/>
          <w:szCs w:val="20"/>
        </w:rPr>
        <w:t xml:space="preserve">: Maximum allowed EIRP of a 4x1 array for FCC compliance [8]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15" w:type="dxa"/>
          <w:bottom w:w="29" w:type="dxa"/>
          <w:right w:w="115" w:type="dxa"/>
        </w:tblCellMar>
        <w:tblLook w:val="04A0" w:firstRow="1" w:lastRow="0" w:firstColumn="1" w:lastColumn="0" w:noHBand="0" w:noVBand="1"/>
      </w:tblPr>
      <w:tblGrid>
        <w:gridCol w:w="2160"/>
        <w:gridCol w:w="1728"/>
        <w:gridCol w:w="1728"/>
        <w:gridCol w:w="2160"/>
      </w:tblGrid>
      <w:tr w:rsidR="00981043" w:rsidRPr="00D52DCE" w14:paraId="27BC1370" w14:textId="77777777" w:rsidTr="00DD7972">
        <w:trPr>
          <w:jc w:val="center"/>
        </w:trPr>
        <w:tc>
          <w:tcPr>
            <w:tcW w:w="2160" w:type="dxa"/>
            <w:vMerge w:val="restart"/>
            <w:tcBorders>
              <w:top w:val="double" w:sz="4" w:space="0" w:color="auto"/>
            </w:tcBorders>
            <w:shd w:val="clear" w:color="auto" w:fill="auto"/>
            <w:vAlign w:val="center"/>
          </w:tcPr>
          <w:p w14:paraId="2B303D10" w14:textId="77777777" w:rsidR="00981043" w:rsidRPr="00D52DCE" w:rsidRDefault="00981043" w:rsidP="00DD7972">
            <w:pPr>
              <w:spacing w:after="60"/>
              <w:jc w:val="center"/>
              <w:rPr>
                <w:b/>
                <w:sz w:val="22"/>
                <w:szCs w:val="20"/>
              </w:rPr>
            </w:pPr>
            <w:r w:rsidRPr="00D52DCE">
              <w:rPr>
                <w:b/>
                <w:sz w:val="22"/>
                <w:szCs w:val="20"/>
              </w:rPr>
              <w:t>FCC compliance</w:t>
            </w:r>
          </w:p>
          <w:p w14:paraId="74A348BB"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PD = 1mW/cm²</w:t>
            </w:r>
          </w:p>
          <w:p w14:paraId="372A176F"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d = 5mm</w:t>
            </w:r>
          </w:p>
          <w:p w14:paraId="64D1CD92" w14:textId="77777777" w:rsidR="00981043" w:rsidRPr="00D52DCE" w:rsidRDefault="00981043" w:rsidP="00981043">
            <w:pPr>
              <w:numPr>
                <w:ilvl w:val="0"/>
                <w:numId w:val="26"/>
              </w:numPr>
              <w:overflowPunct w:val="0"/>
              <w:autoSpaceDE w:val="0"/>
              <w:autoSpaceDN w:val="0"/>
              <w:adjustRightInd w:val="0"/>
              <w:ind w:left="288" w:hanging="144"/>
              <w:textAlignment w:val="baseline"/>
              <w:rPr>
                <w:sz w:val="22"/>
                <w:szCs w:val="20"/>
              </w:rPr>
            </w:pPr>
            <w:r w:rsidRPr="00D52DCE">
              <w:rPr>
                <w:sz w:val="22"/>
                <w:szCs w:val="20"/>
              </w:rPr>
              <w:t>Avg. area = 4 cm²</w:t>
            </w:r>
          </w:p>
        </w:tc>
        <w:tc>
          <w:tcPr>
            <w:tcW w:w="1728" w:type="dxa"/>
            <w:tcBorders>
              <w:top w:val="double" w:sz="4" w:space="0" w:color="auto"/>
            </w:tcBorders>
            <w:shd w:val="clear" w:color="auto" w:fill="auto"/>
            <w:vAlign w:val="center"/>
          </w:tcPr>
          <w:p w14:paraId="5FC8487B" w14:textId="77777777" w:rsidR="00981043" w:rsidRPr="00D52DCE" w:rsidRDefault="00981043" w:rsidP="00DD7972">
            <w:pPr>
              <w:jc w:val="center"/>
              <w:rPr>
                <w:b/>
                <w:sz w:val="22"/>
                <w:szCs w:val="20"/>
              </w:rPr>
            </w:pPr>
            <w:r w:rsidRPr="00D52DCE">
              <w:rPr>
                <w:b/>
                <w:sz w:val="22"/>
                <w:szCs w:val="20"/>
              </w:rPr>
              <w:t>Max duty cycle</w:t>
            </w:r>
          </w:p>
          <w:p w14:paraId="21918CD9" w14:textId="77777777" w:rsidR="00981043" w:rsidRPr="00D52DCE" w:rsidRDefault="00981043" w:rsidP="00DD7972">
            <w:pPr>
              <w:jc w:val="center"/>
              <w:rPr>
                <w:b/>
                <w:sz w:val="22"/>
                <w:szCs w:val="20"/>
              </w:rPr>
            </w:pPr>
            <w:r w:rsidRPr="00D52DCE">
              <w:rPr>
                <w:b/>
                <w:sz w:val="22"/>
                <w:szCs w:val="20"/>
              </w:rPr>
              <w:t>[%]</w:t>
            </w:r>
          </w:p>
        </w:tc>
        <w:tc>
          <w:tcPr>
            <w:tcW w:w="1728" w:type="dxa"/>
            <w:tcBorders>
              <w:top w:val="double" w:sz="4" w:space="0" w:color="auto"/>
            </w:tcBorders>
            <w:shd w:val="clear" w:color="auto" w:fill="auto"/>
            <w:vAlign w:val="center"/>
          </w:tcPr>
          <w:p w14:paraId="67D52577" w14:textId="77777777" w:rsidR="00981043" w:rsidRPr="00D52DCE" w:rsidRDefault="00981043" w:rsidP="00DD7972">
            <w:pPr>
              <w:jc w:val="center"/>
              <w:rPr>
                <w:b/>
                <w:sz w:val="22"/>
                <w:szCs w:val="20"/>
              </w:rPr>
            </w:pPr>
            <w:r w:rsidRPr="00D52DCE">
              <w:rPr>
                <w:b/>
                <w:sz w:val="22"/>
                <w:szCs w:val="20"/>
              </w:rPr>
              <w:t>Max allowed EIRP</w:t>
            </w:r>
          </w:p>
          <w:p w14:paraId="770B2EC1" w14:textId="77777777" w:rsidR="00981043" w:rsidRPr="00D52DCE" w:rsidRDefault="00981043" w:rsidP="00DD7972">
            <w:pPr>
              <w:jc w:val="center"/>
              <w:rPr>
                <w:b/>
                <w:sz w:val="22"/>
                <w:szCs w:val="20"/>
              </w:rPr>
            </w:pPr>
            <w:r w:rsidRPr="00D52DCE">
              <w:rPr>
                <w:b/>
                <w:sz w:val="22"/>
                <w:szCs w:val="20"/>
              </w:rPr>
              <w:t>[dBm]</w:t>
            </w:r>
          </w:p>
        </w:tc>
        <w:tc>
          <w:tcPr>
            <w:tcW w:w="2160" w:type="dxa"/>
            <w:tcBorders>
              <w:top w:val="double" w:sz="4" w:space="0" w:color="auto"/>
            </w:tcBorders>
            <w:shd w:val="clear" w:color="auto" w:fill="auto"/>
            <w:vAlign w:val="center"/>
          </w:tcPr>
          <w:p w14:paraId="030D8ADE" w14:textId="77777777" w:rsidR="00981043" w:rsidRPr="00D52DCE" w:rsidRDefault="00981043" w:rsidP="00DD7972">
            <w:pPr>
              <w:jc w:val="center"/>
              <w:rPr>
                <w:b/>
                <w:sz w:val="22"/>
                <w:szCs w:val="20"/>
              </w:rPr>
            </w:pPr>
            <w:r w:rsidRPr="00D52DCE">
              <w:rPr>
                <w:b/>
                <w:sz w:val="22"/>
                <w:szCs w:val="20"/>
              </w:rPr>
              <w:t>Cell edge UL throughput</w:t>
            </w:r>
          </w:p>
          <w:p w14:paraId="399517BA" w14:textId="77777777" w:rsidR="00981043" w:rsidRPr="00D52DCE" w:rsidRDefault="00981043" w:rsidP="00DD7972">
            <w:pPr>
              <w:jc w:val="center"/>
              <w:rPr>
                <w:b/>
                <w:sz w:val="22"/>
                <w:szCs w:val="20"/>
              </w:rPr>
            </w:pPr>
            <w:r w:rsidRPr="00D52DCE">
              <w:rPr>
                <w:b/>
                <w:sz w:val="22"/>
                <w:szCs w:val="20"/>
              </w:rPr>
              <w:t>[Mb/s]</w:t>
            </w:r>
          </w:p>
        </w:tc>
      </w:tr>
      <w:tr w:rsidR="00981043" w:rsidRPr="00D52DCE" w14:paraId="01CD409B" w14:textId="77777777" w:rsidTr="00DD7972">
        <w:trPr>
          <w:jc w:val="center"/>
        </w:trPr>
        <w:tc>
          <w:tcPr>
            <w:tcW w:w="2160" w:type="dxa"/>
            <w:vMerge/>
            <w:shd w:val="clear" w:color="auto" w:fill="auto"/>
            <w:vAlign w:val="center"/>
          </w:tcPr>
          <w:p w14:paraId="75428A7F"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14C83009" w14:textId="77777777" w:rsidR="00981043" w:rsidRPr="00D52DCE" w:rsidRDefault="00981043" w:rsidP="00DD7972">
            <w:pPr>
              <w:jc w:val="center"/>
              <w:rPr>
                <w:sz w:val="22"/>
                <w:szCs w:val="20"/>
              </w:rPr>
            </w:pPr>
            <w:r w:rsidRPr="00D52DCE">
              <w:rPr>
                <w:sz w:val="22"/>
                <w:szCs w:val="20"/>
              </w:rPr>
              <w:t>100</w:t>
            </w:r>
          </w:p>
        </w:tc>
        <w:tc>
          <w:tcPr>
            <w:tcW w:w="1728" w:type="dxa"/>
            <w:shd w:val="clear" w:color="auto" w:fill="auto"/>
            <w:vAlign w:val="center"/>
          </w:tcPr>
          <w:p w14:paraId="5EE79386" w14:textId="77777777" w:rsidR="00981043" w:rsidRPr="00D52DCE" w:rsidRDefault="00981043" w:rsidP="00DD7972">
            <w:pPr>
              <w:jc w:val="center"/>
              <w:rPr>
                <w:sz w:val="22"/>
                <w:szCs w:val="20"/>
              </w:rPr>
            </w:pPr>
            <w:r w:rsidRPr="00D52DCE">
              <w:rPr>
                <w:sz w:val="22"/>
                <w:szCs w:val="20"/>
              </w:rPr>
              <w:t>18.0</w:t>
            </w:r>
          </w:p>
        </w:tc>
        <w:tc>
          <w:tcPr>
            <w:tcW w:w="2160" w:type="dxa"/>
            <w:shd w:val="clear" w:color="auto" w:fill="auto"/>
            <w:vAlign w:val="center"/>
          </w:tcPr>
          <w:p w14:paraId="751355BE" w14:textId="77777777" w:rsidR="00981043" w:rsidRPr="00D52DCE" w:rsidRDefault="00981043" w:rsidP="00DD7972">
            <w:pPr>
              <w:jc w:val="center"/>
              <w:rPr>
                <w:sz w:val="22"/>
                <w:szCs w:val="20"/>
              </w:rPr>
            </w:pPr>
            <w:r w:rsidRPr="00D52DCE">
              <w:rPr>
                <w:sz w:val="22"/>
                <w:szCs w:val="20"/>
              </w:rPr>
              <w:t>100</w:t>
            </w:r>
          </w:p>
        </w:tc>
      </w:tr>
      <w:tr w:rsidR="00981043" w:rsidRPr="00D52DCE" w14:paraId="70A1463D" w14:textId="77777777" w:rsidTr="00DD7972">
        <w:trPr>
          <w:jc w:val="center"/>
        </w:trPr>
        <w:tc>
          <w:tcPr>
            <w:tcW w:w="2160" w:type="dxa"/>
            <w:vMerge/>
            <w:shd w:val="clear" w:color="auto" w:fill="auto"/>
            <w:vAlign w:val="center"/>
          </w:tcPr>
          <w:p w14:paraId="3A34210C"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7CE49FAD" w14:textId="77777777" w:rsidR="00981043" w:rsidRPr="00D52DCE" w:rsidRDefault="00981043" w:rsidP="00DD7972">
            <w:pPr>
              <w:jc w:val="center"/>
              <w:rPr>
                <w:sz w:val="22"/>
                <w:szCs w:val="20"/>
              </w:rPr>
            </w:pPr>
            <w:r w:rsidRPr="00D52DCE">
              <w:rPr>
                <w:sz w:val="22"/>
                <w:szCs w:val="20"/>
              </w:rPr>
              <w:t>50</w:t>
            </w:r>
          </w:p>
        </w:tc>
        <w:tc>
          <w:tcPr>
            <w:tcW w:w="1728" w:type="dxa"/>
            <w:shd w:val="clear" w:color="auto" w:fill="auto"/>
            <w:vAlign w:val="center"/>
          </w:tcPr>
          <w:p w14:paraId="69CEAA47" w14:textId="77777777" w:rsidR="00981043" w:rsidRPr="00D52DCE" w:rsidRDefault="00981043" w:rsidP="00DD7972">
            <w:pPr>
              <w:jc w:val="center"/>
              <w:rPr>
                <w:sz w:val="22"/>
                <w:szCs w:val="20"/>
              </w:rPr>
            </w:pPr>
            <w:r w:rsidRPr="00D52DCE">
              <w:rPr>
                <w:sz w:val="22"/>
                <w:szCs w:val="20"/>
              </w:rPr>
              <w:t>21.0</w:t>
            </w:r>
          </w:p>
        </w:tc>
        <w:tc>
          <w:tcPr>
            <w:tcW w:w="2160" w:type="dxa"/>
            <w:shd w:val="clear" w:color="auto" w:fill="auto"/>
            <w:vAlign w:val="center"/>
          </w:tcPr>
          <w:p w14:paraId="38675E81" w14:textId="77777777" w:rsidR="00981043" w:rsidRPr="00D52DCE" w:rsidRDefault="00981043" w:rsidP="00DD7972">
            <w:pPr>
              <w:jc w:val="center"/>
              <w:rPr>
                <w:sz w:val="22"/>
                <w:szCs w:val="20"/>
              </w:rPr>
            </w:pPr>
            <w:r w:rsidRPr="00D52DCE">
              <w:rPr>
                <w:sz w:val="22"/>
                <w:szCs w:val="20"/>
              </w:rPr>
              <w:t>50</w:t>
            </w:r>
          </w:p>
        </w:tc>
      </w:tr>
      <w:tr w:rsidR="00981043" w:rsidRPr="00D52DCE" w14:paraId="3FC0B8AB" w14:textId="77777777" w:rsidTr="00DD7972">
        <w:trPr>
          <w:trHeight w:val="202"/>
          <w:jc w:val="center"/>
        </w:trPr>
        <w:tc>
          <w:tcPr>
            <w:tcW w:w="2160" w:type="dxa"/>
            <w:vMerge/>
            <w:shd w:val="clear" w:color="auto" w:fill="auto"/>
            <w:vAlign w:val="center"/>
          </w:tcPr>
          <w:p w14:paraId="76108805"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733F1D60" w14:textId="77777777" w:rsidR="00981043" w:rsidRPr="00D52DCE" w:rsidRDefault="00981043" w:rsidP="00DD7972">
            <w:pPr>
              <w:jc w:val="center"/>
              <w:rPr>
                <w:sz w:val="22"/>
                <w:szCs w:val="20"/>
              </w:rPr>
            </w:pPr>
            <w:r w:rsidRPr="00D52DCE">
              <w:rPr>
                <w:sz w:val="22"/>
                <w:szCs w:val="20"/>
              </w:rPr>
              <w:t>40</w:t>
            </w:r>
          </w:p>
        </w:tc>
        <w:tc>
          <w:tcPr>
            <w:tcW w:w="1728" w:type="dxa"/>
            <w:shd w:val="clear" w:color="auto" w:fill="auto"/>
            <w:vAlign w:val="center"/>
          </w:tcPr>
          <w:p w14:paraId="5756EBED" w14:textId="77777777" w:rsidR="00981043" w:rsidRPr="00D52DCE" w:rsidRDefault="00981043" w:rsidP="00DD7972">
            <w:pPr>
              <w:jc w:val="center"/>
              <w:rPr>
                <w:sz w:val="22"/>
                <w:szCs w:val="20"/>
              </w:rPr>
            </w:pPr>
            <w:r w:rsidRPr="00D52DCE">
              <w:rPr>
                <w:sz w:val="22"/>
                <w:szCs w:val="20"/>
              </w:rPr>
              <w:t>21.9</w:t>
            </w:r>
          </w:p>
        </w:tc>
        <w:tc>
          <w:tcPr>
            <w:tcW w:w="2160" w:type="dxa"/>
            <w:shd w:val="clear" w:color="auto" w:fill="auto"/>
            <w:vAlign w:val="center"/>
          </w:tcPr>
          <w:p w14:paraId="3CA5CD46" w14:textId="77777777" w:rsidR="00981043" w:rsidRPr="00D52DCE" w:rsidRDefault="00981043" w:rsidP="00DD7972">
            <w:pPr>
              <w:jc w:val="center"/>
              <w:rPr>
                <w:sz w:val="22"/>
                <w:szCs w:val="20"/>
              </w:rPr>
            </w:pPr>
            <w:r w:rsidRPr="00D52DCE">
              <w:rPr>
                <w:sz w:val="22"/>
                <w:szCs w:val="20"/>
              </w:rPr>
              <w:t>40</w:t>
            </w:r>
          </w:p>
        </w:tc>
      </w:tr>
      <w:tr w:rsidR="00981043" w:rsidRPr="00D52DCE" w14:paraId="79E11D5A" w14:textId="77777777" w:rsidTr="00DD7972">
        <w:trPr>
          <w:jc w:val="center"/>
        </w:trPr>
        <w:tc>
          <w:tcPr>
            <w:tcW w:w="2160" w:type="dxa"/>
            <w:vMerge/>
            <w:shd w:val="clear" w:color="auto" w:fill="auto"/>
            <w:vAlign w:val="center"/>
          </w:tcPr>
          <w:p w14:paraId="5F794179" w14:textId="77777777" w:rsidR="00981043" w:rsidRPr="00D52DCE" w:rsidRDefault="00981043" w:rsidP="00DD7972">
            <w:pPr>
              <w:spacing w:line="280" w:lineRule="atLeast"/>
              <w:jc w:val="center"/>
              <w:rPr>
                <w:sz w:val="22"/>
                <w:szCs w:val="20"/>
              </w:rPr>
            </w:pPr>
          </w:p>
        </w:tc>
        <w:tc>
          <w:tcPr>
            <w:tcW w:w="1728" w:type="dxa"/>
            <w:shd w:val="clear" w:color="auto" w:fill="auto"/>
            <w:vAlign w:val="center"/>
          </w:tcPr>
          <w:p w14:paraId="49D1B87E" w14:textId="77777777" w:rsidR="00981043" w:rsidRPr="00D52DCE" w:rsidRDefault="00981043" w:rsidP="00DD7972">
            <w:pPr>
              <w:jc w:val="center"/>
              <w:rPr>
                <w:sz w:val="22"/>
                <w:szCs w:val="20"/>
              </w:rPr>
            </w:pPr>
            <w:r w:rsidRPr="00D52DCE">
              <w:rPr>
                <w:sz w:val="22"/>
                <w:szCs w:val="20"/>
              </w:rPr>
              <w:t>20</w:t>
            </w:r>
          </w:p>
        </w:tc>
        <w:tc>
          <w:tcPr>
            <w:tcW w:w="1728" w:type="dxa"/>
            <w:shd w:val="clear" w:color="auto" w:fill="auto"/>
            <w:vAlign w:val="center"/>
          </w:tcPr>
          <w:p w14:paraId="0D9F8514" w14:textId="77777777" w:rsidR="00981043" w:rsidRPr="00D52DCE" w:rsidRDefault="00981043" w:rsidP="00DD7972">
            <w:pPr>
              <w:jc w:val="center"/>
              <w:rPr>
                <w:sz w:val="22"/>
                <w:szCs w:val="20"/>
              </w:rPr>
            </w:pPr>
            <w:r w:rsidRPr="00D52DCE">
              <w:rPr>
                <w:sz w:val="22"/>
                <w:szCs w:val="20"/>
              </w:rPr>
              <w:t>25.0</w:t>
            </w:r>
          </w:p>
        </w:tc>
        <w:tc>
          <w:tcPr>
            <w:tcW w:w="2160" w:type="dxa"/>
            <w:shd w:val="clear" w:color="auto" w:fill="auto"/>
            <w:vAlign w:val="center"/>
          </w:tcPr>
          <w:p w14:paraId="3BC118CC" w14:textId="77777777" w:rsidR="00981043" w:rsidRPr="00D52DCE" w:rsidRDefault="00981043" w:rsidP="00DD7972">
            <w:pPr>
              <w:jc w:val="center"/>
              <w:rPr>
                <w:sz w:val="22"/>
                <w:szCs w:val="20"/>
              </w:rPr>
            </w:pPr>
            <w:r w:rsidRPr="00D52DCE">
              <w:rPr>
                <w:sz w:val="22"/>
                <w:szCs w:val="20"/>
              </w:rPr>
              <w:t>20</w:t>
            </w:r>
          </w:p>
        </w:tc>
      </w:tr>
    </w:tbl>
    <w:p w14:paraId="4C2FFE54" w14:textId="77777777" w:rsidR="00981043" w:rsidRPr="00D52DCE" w:rsidRDefault="00981043" w:rsidP="00981043">
      <w:pPr>
        <w:rPr>
          <w:rFonts w:eastAsia="SimSun"/>
          <w:sz w:val="22"/>
          <w:szCs w:val="20"/>
        </w:rPr>
      </w:pPr>
    </w:p>
    <w:p w14:paraId="24AE773D" w14:textId="78391788" w:rsidR="00FA7266" w:rsidRDefault="00FA7266" w:rsidP="00981043">
      <w:pPr>
        <w:rPr>
          <w:rFonts w:eastAsia="SimSun"/>
          <w:sz w:val="22"/>
          <w:szCs w:val="20"/>
        </w:rPr>
      </w:pPr>
      <w:r>
        <w:rPr>
          <w:rFonts w:eastAsia="SimSun"/>
          <w:sz w:val="22"/>
          <w:szCs w:val="20"/>
        </w:rPr>
        <w:t>RAN4 has reached consensus on the Rel-15 mechanism for RF exposure compliance (uplink duty cycle limitation and UE power back-off with P-MPR) and confirmed that the power backoff to comply with RF exposure regulation can be large</w:t>
      </w:r>
      <w:r w:rsidR="00540607">
        <w:rPr>
          <w:rFonts w:eastAsia="SimSun"/>
          <w:sz w:val="22"/>
          <w:szCs w:val="20"/>
        </w:rPr>
        <w:t xml:space="preserve"> [2]</w:t>
      </w:r>
      <w:r>
        <w:rPr>
          <w:rFonts w:eastAsia="SimSun"/>
          <w:sz w:val="22"/>
          <w:szCs w:val="20"/>
        </w:rPr>
        <w:t>.</w:t>
      </w:r>
      <w:r w:rsidR="00E606F4">
        <w:rPr>
          <w:rFonts w:eastAsia="SimSun"/>
          <w:sz w:val="22"/>
          <w:szCs w:val="20"/>
        </w:rPr>
        <w:t xml:space="preserve"> During the RAN #83 meeting the maxUplinkDutyCycle capability was further discussed and updated in</w:t>
      </w:r>
      <w:r w:rsidR="00824926">
        <w:rPr>
          <w:rFonts w:eastAsia="SimSun"/>
          <w:sz w:val="22"/>
          <w:szCs w:val="20"/>
        </w:rPr>
        <w:t xml:space="preserve"> </w:t>
      </w:r>
      <w:r w:rsidR="00540607">
        <w:rPr>
          <w:rFonts w:eastAsia="SimSun"/>
          <w:sz w:val="22"/>
          <w:szCs w:val="20"/>
        </w:rPr>
        <w:t>[3]</w:t>
      </w:r>
      <w:r w:rsidR="00E606F4">
        <w:rPr>
          <w:rFonts w:eastAsia="SimSun"/>
          <w:sz w:val="22"/>
          <w:szCs w:val="20"/>
        </w:rPr>
        <w:t>. Despite the intensive discussion, this capability remains a static indication and remains unchanged over the duration of the RRC connection. Thus, both P-MPR and maxUplinkDutyCycle are partial solutions and do not provide a method of adaptive mitigation of network performance.</w:t>
      </w:r>
      <w:r w:rsidR="00EF4C95">
        <w:rPr>
          <w:rFonts w:eastAsia="SimSun"/>
          <w:sz w:val="22"/>
          <w:szCs w:val="20"/>
        </w:rPr>
        <w:t xml:space="preserve"> It is also important </w:t>
      </w:r>
      <w:r w:rsidR="00DB2BC7">
        <w:rPr>
          <w:rFonts w:eastAsia="SimSun"/>
          <w:sz w:val="22"/>
          <w:szCs w:val="20"/>
        </w:rPr>
        <w:t xml:space="preserve">to </w:t>
      </w:r>
      <w:r w:rsidR="00EF4C95">
        <w:rPr>
          <w:rFonts w:eastAsia="SimSun"/>
          <w:sz w:val="22"/>
          <w:szCs w:val="20"/>
        </w:rPr>
        <w:t xml:space="preserve">note that advanced UE </w:t>
      </w:r>
      <w:r w:rsidR="009D3992">
        <w:rPr>
          <w:rFonts w:eastAsia="SimSun"/>
          <w:sz w:val="22"/>
          <w:szCs w:val="20"/>
        </w:rPr>
        <w:t>may be able to</w:t>
      </w:r>
      <w:r w:rsidR="00EF4C95">
        <w:rPr>
          <w:rFonts w:eastAsia="SimSun"/>
          <w:sz w:val="22"/>
          <w:szCs w:val="20"/>
        </w:rPr>
        <w:t xml:space="preserve"> utilize sensor information to minimize the requirement for either actual MPR or uplink duty cycle, while still complying to the regulatory requirement.  </w:t>
      </w:r>
    </w:p>
    <w:p w14:paraId="16476CB2" w14:textId="77777777" w:rsidR="00FA7266" w:rsidRDefault="00FA7266" w:rsidP="00981043">
      <w:pPr>
        <w:rPr>
          <w:rFonts w:eastAsia="SimSun"/>
          <w:sz w:val="22"/>
          <w:szCs w:val="20"/>
        </w:rPr>
      </w:pPr>
    </w:p>
    <w:p w14:paraId="683CC770" w14:textId="542122F8" w:rsidR="00981043" w:rsidRPr="00D52DCE" w:rsidRDefault="00981043" w:rsidP="00981043">
      <w:pPr>
        <w:rPr>
          <w:rFonts w:eastAsia="SimSun"/>
          <w:sz w:val="22"/>
          <w:szCs w:val="20"/>
        </w:rPr>
      </w:pPr>
      <w:r w:rsidRPr="00D52DCE">
        <w:rPr>
          <w:rFonts w:eastAsia="SimSun"/>
          <w:sz w:val="22"/>
          <w:szCs w:val="20"/>
        </w:rPr>
        <w:t>In addition to RAN4’s endeavors, MPE can also be considered in the Rel. 16 enhanced beam management WI, since MPE is a highly directional requirement. Consider the scenario where the human body blocks the LOS direction, but there is a viable NLOS direction free of blockage. The DL RSRP of the beam along the LOS direction may be still larger than that of the NLOS beam even with the blockage loss; however, the UL RSRP of the beam along the LOS direction can be significantly less due to MPE related power back-off in this direction. Since the Rel-15 beam report only includes DL RSRP, the network would still select the beam in the LOS direction for the UL assuming beam correspondence. It is therefore critical for RAN1 to enhance the beam management framework (beam measurement and report) to improve the beamforming performance in case of MPE, to facilitate the adoption of FR2 technology.</w:t>
      </w:r>
    </w:p>
    <w:p w14:paraId="7EBBF53E" w14:textId="77777777" w:rsidR="00981043" w:rsidRPr="00D52DCE" w:rsidRDefault="00981043" w:rsidP="00981043">
      <w:pPr>
        <w:rPr>
          <w:rFonts w:eastAsia="SimSun"/>
          <w:sz w:val="22"/>
          <w:szCs w:val="20"/>
        </w:rPr>
      </w:pPr>
    </w:p>
    <w:p w14:paraId="77014256" w14:textId="701ACAAB" w:rsidR="00A719E3" w:rsidRDefault="00981043" w:rsidP="00981043">
      <w:pPr>
        <w:rPr>
          <w:b/>
          <w:i/>
          <w:sz w:val="22"/>
          <w:szCs w:val="20"/>
        </w:rPr>
      </w:pPr>
      <w:r w:rsidRPr="00D52DCE">
        <w:rPr>
          <w:b/>
          <w:i/>
          <w:sz w:val="22"/>
          <w:szCs w:val="20"/>
          <w:u w:val="single"/>
        </w:rPr>
        <w:t xml:space="preserve">Proposal </w:t>
      </w:r>
      <w:r w:rsidR="00164EE3">
        <w:rPr>
          <w:b/>
          <w:i/>
          <w:sz w:val="22"/>
          <w:szCs w:val="20"/>
          <w:u w:val="single"/>
        </w:rPr>
        <w:t>1</w:t>
      </w:r>
      <w:r w:rsidRPr="00D52DCE">
        <w:rPr>
          <w:b/>
          <w:i/>
          <w:sz w:val="22"/>
          <w:szCs w:val="20"/>
        </w:rPr>
        <w:t xml:space="preserve">: NR </w:t>
      </w:r>
      <w:r w:rsidR="00A719E3">
        <w:rPr>
          <w:b/>
          <w:i/>
          <w:sz w:val="22"/>
          <w:szCs w:val="20"/>
        </w:rPr>
        <w:t xml:space="preserve">supports </w:t>
      </w:r>
      <w:r w:rsidRPr="00D52DCE">
        <w:rPr>
          <w:b/>
          <w:i/>
          <w:sz w:val="22"/>
          <w:szCs w:val="20"/>
        </w:rPr>
        <w:t xml:space="preserve">beam management </w:t>
      </w:r>
      <w:r w:rsidR="00A719E3">
        <w:rPr>
          <w:b/>
          <w:i/>
          <w:sz w:val="22"/>
          <w:szCs w:val="20"/>
        </w:rPr>
        <w:t>enhancement to resolve MPE issue</w:t>
      </w:r>
    </w:p>
    <w:p w14:paraId="3A450850" w14:textId="62AD92F2" w:rsidR="007B4E43" w:rsidRDefault="007B4E43" w:rsidP="00981043">
      <w:pPr>
        <w:pStyle w:val="Heading2"/>
      </w:pPr>
      <w:r>
        <w:lastRenderedPageBreak/>
        <w:t>Need for Separate UL and DL beam Measureme</w:t>
      </w:r>
      <w:r w:rsidR="006C4B08">
        <w:t>n</w:t>
      </w:r>
      <w:r>
        <w:t>t Report</w:t>
      </w:r>
    </w:p>
    <w:p w14:paraId="7760E31A" w14:textId="25B13797" w:rsidR="00DE30BE" w:rsidRDefault="00531464" w:rsidP="00B34FA1">
      <w:pPr>
        <w:rPr>
          <w:rFonts w:eastAsia="MS Mincho"/>
          <w:sz w:val="22"/>
          <w:szCs w:val="22"/>
          <w:lang w:eastAsia="ja-JP"/>
        </w:rPr>
      </w:pPr>
      <w:r>
        <w:rPr>
          <w:rFonts w:eastAsia="MS Mincho"/>
          <w:sz w:val="22"/>
          <w:szCs w:val="22"/>
          <w:lang w:eastAsia="ja-JP"/>
        </w:rPr>
        <w:t>As we brief</w:t>
      </w:r>
      <w:r w:rsidR="001319AA">
        <w:rPr>
          <w:rFonts w:eastAsia="MS Mincho"/>
          <w:sz w:val="22"/>
          <w:szCs w:val="22"/>
          <w:lang w:eastAsia="ja-JP"/>
        </w:rPr>
        <w:t>ly</w:t>
      </w:r>
      <w:r>
        <w:rPr>
          <w:rFonts w:eastAsia="MS Mincho"/>
          <w:sz w:val="22"/>
          <w:szCs w:val="22"/>
          <w:lang w:eastAsia="ja-JP"/>
        </w:rPr>
        <w:t xml:space="preserve"> discussed in the previous section, DL and UL </w:t>
      </w:r>
      <w:r w:rsidR="00397536">
        <w:rPr>
          <w:rFonts w:eastAsia="MS Mincho"/>
          <w:sz w:val="22"/>
          <w:szCs w:val="22"/>
          <w:lang w:eastAsia="ja-JP"/>
        </w:rPr>
        <w:t xml:space="preserve">beam </w:t>
      </w:r>
      <w:r w:rsidR="00DB14CC">
        <w:rPr>
          <w:rFonts w:eastAsia="MS Mincho"/>
          <w:sz w:val="22"/>
          <w:szCs w:val="22"/>
          <w:lang w:eastAsia="ja-JP"/>
        </w:rPr>
        <w:t xml:space="preserve">selection </w:t>
      </w:r>
      <w:r>
        <w:rPr>
          <w:rFonts w:eastAsia="MS Mincho"/>
          <w:sz w:val="22"/>
          <w:szCs w:val="22"/>
          <w:lang w:eastAsia="ja-JP"/>
        </w:rPr>
        <w:t xml:space="preserve">may </w:t>
      </w:r>
      <w:r w:rsidR="008617FC">
        <w:rPr>
          <w:rFonts w:eastAsia="MS Mincho"/>
          <w:sz w:val="22"/>
          <w:szCs w:val="22"/>
          <w:lang w:eastAsia="ja-JP"/>
        </w:rPr>
        <w:t xml:space="preserve">be </w:t>
      </w:r>
      <w:r>
        <w:rPr>
          <w:rFonts w:eastAsia="MS Mincho"/>
          <w:sz w:val="22"/>
          <w:szCs w:val="22"/>
          <w:lang w:eastAsia="ja-JP"/>
        </w:rPr>
        <w:t>subject to different con</w:t>
      </w:r>
      <w:r w:rsidR="00937B74">
        <w:rPr>
          <w:rFonts w:eastAsia="MS Mincho"/>
          <w:sz w:val="22"/>
          <w:szCs w:val="22"/>
          <w:lang w:eastAsia="ja-JP"/>
        </w:rPr>
        <w:t>s</w:t>
      </w:r>
      <w:r>
        <w:rPr>
          <w:rFonts w:eastAsia="MS Mincho"/>
          <w:sz w:val="22"/>
          <w:szCs w:val="22"/>
          <w:lang w:eastAsia="ja-JP"/>
        </w:rPr>
        <w:t>t</w:t>
      </w:r>
      <w:r w:rsidR="00B66A5E">
        <w:rPr>
          <w:rFonts w:eastAsia="MS Mincho"/>
          <w:sz w:val="22"/>
          <w:szCs w:val="22"/>
          <w:lang w:eastAsia="ja-JP"/>
        </w:rPr>
        <w:t>r</w:t>
      </w:r>
      <w:r>
        <w:rPr>
          <w:rFonts w:eastAsia="MS Mincho"/>
          <w:sz w:val="22"/>
          <w:szCs w:val="22"/>
          <w:lang w:eastAsia="ja-JP"/>
        </w:rPr>
        <w:t>ain</w:t>
      </w:r>
      <w:r w:rsidR="000A3E62">
        <w:rPr>
          <w:rFonts w:eastAsia="MS Mincho"/>
          <w:sz w:val="22"/>
          <w:szCs w:val="22"/>
          <w:lang w:eastAsia="ja-JP"/>
        </w:rPr>
        <w:t>t</w:t>
      </w:r>
      <w:r>
        <w:rPr>
          <w:rFonts w:eastAsia="MS Mincho"/>
          <w:sz w:val="22"/>
          <w:szCs w:val="22"/>
          <w:lang w:eastAsia="ja-JP"/>
        </w:rPr>
        <w:t xml:space="preserve">s. Even for </w:t>
      </w:r>
      <w:r w:rsidR="009F4B07">
        <w:rPr>
          <w:rFonts w:eastAsia="MS Mincho"/>
          <w:sz w:val="22"/>
          <w:szCs w:val="22"/>
          <w:lang w:eastAsia="ja-JP"/>
        </w:rPr>
        <w:t xml:space="preserve">a </w:t>
      </w:r>
      <w:r>
        <w:rPr>
          <w:rFonts w:eastAsia="MS Mincho"/>
          <w:sz w:val="22"/>
          <w:szCs w:val="22"/>
          <w:lang w:eastAsia="ja-JP"/>
        </w:rPr>
        <w:t xml:space="preserve">UE with perfect </w:t>
      </w:r>
      <w:r w:rsidR="00DE30BE">
        <w:rPr>
          <w:rFonts w:eastAsia="MS Mincho"/>
          <w:sz w:val="22"/>
          <w:szCs w:val="22"/>
          <w:lang w:eastAsia="ja-JP"/>
        </w:rPr>
        <w:t xml:space="preserve">beam correspondence, the best UL beam may not </w:t>
      </w:r>
      <w:r w:rsidR="000A3E62">
        <w:rPr>
          <w:rFonts w:eastAsia="MS Mincho"/>
          <w:sz w:val="22"/>
          <w:szCs w:val="22"/>
          <w:lang w:eastAsia="ja-JP"/>
        </w:rPr>
        <w:t xml:space="preserve">always </w:t>
      </w:r>
      <w:r w:rsidR="009F4B07">
        <w:rPr>
          <w:rFonts w:eastAsia="MS Mincho"/>
          <w:sz w:val="22"/>
          <w:szCs w:val="22"/>
          <w:lang w:eastAsia="ja-JP"/>
        </w:rPr>
        <w:t xml:space="preserve">correspond to the direction of the </w:t>
      </w:r>
      <w:r w:rsidR="00DE30BE">
        <w:rPr>
          <w:rFonts w:eastAsia="MS Mincho"/>
          <w:sz w:val="22"/>
          <w:szCs w:val="22"/>
          <w:lang w:eastAsia="ja-JP"/>
        </w:rPr>
        <w:t>best DL beam. There are a few factors we need to consider here</w:t>
      </w:r>
      <w:r w:rsidR="000A3E62">
        <w:rPr>
          <w:rFonts w:eastAsia="MS Mincho"/>
          <w:sz w:val="22"/>
          <w:szCs w:val="22"/>
          <w:lang w:eastAsia="ja-JP"/>
        </w:rPr>
        <w:t>:</w:t>
      </w:r>
    </w:p>
    <w:p w14:paraId="119FA1AD" w14:textId="77777777" w:rsidR="00DE30BE" w:rsidRDefault="00DE30BE" w:rsidP="003E5415">
      <w:pPr>
        <w:rPr>
          <w:rFonts w:eastAsia="MS Mincho"/>
          <w:sz w:val="22"/>
          <w:szCs w:val="22"/>
          <w:lang w:eastAsia="ja-JP"/>
        </w:rPr>
      </w:pPr>
    </w:p>
    <w:p w14:paraId="256F330A" w14:textId="0A4D29A6" w:rsidR="00DE30BE" w:rsidRPr="00DE30BE" w:rsidRDefault="00DE30BE" w:rsidP="003E5415">
      <w:pPr>
        <w:pStyle w:val="ListParagraph"/>
        <w:numPr>
          <w:ilvl w:val="0"/>
          <w:numId w:val="27"/>
        </w:numPr>
        <w:rPr>
          <w:rFonts w:ascii="Times New Roman" w:eastAsia="MS Mincho" w:hAnsi="Times New Roman"/>
          <w:lang w:eastAsia="ja-JP"/>
        </w:rPr>
      </w:pPr>
      <w:r>
        <w:rPr>
          <w:rFonts w:ascii="Times New Roman" w:eastAsia="MS Mincho" w:hAnsi="Times New Roman"/>
          <w:lang w:eastAsia="ja-JP"/>
        </w:rPr>
        <w:t xml:space="preserve">UL transmission limited </w:t>
      </w:r>
      <w:r w:rsidR="00601C13">
        <w:rPr>
          <w:rFonts w:ascii="Times New Roman" w:eastAsia="MS Mincho" w:hAnsi="Times New Roman"/>
          <w:lang w:eastAsia="ja-JP"/>
        </w:rPr>
        <w:t>by</w:t>
      </w:r>
      <w:r>
        <w:rPr>
          <w:rFonts w:ascii="Times New Roman" w:eastAsia="MS Mincho" w:hAnsi="Times New Roman"/>
          <w:lang w:eastAsia="ja-JP"/>
        </w:rPr>
        <w:t xml:space="preserve"> </w:t>
      </w:r>
      <w:r w:rsidRPr="00DE30BE">
        <w:rPr>
          <w:rFonts w:ascii="Times New Roman" w:eastAsia="MS Mincho" w:hAnsi="Times New Roman"/>
          <w:lang w:eastAsia="ja-JP"/>
        </w:rPr>
        <w:t>MPE</w:t>
      </w:r>
      <w:r w:rsidR="00D90DD0">
        <w:rPr>
          <w:rFonts w:ascii="Times New Roman" w:eastAsia="MS Mincho" w:hAnsi="Times New Roman"/>
          <w:lang w:eastAsia="ja-JP"/>
        </w:rPr>
        <w:t>: d</w:t>
      </w:r>
      <w:r w:rsidRPr="00DE30BE">
        <w:rPr>
          <w:rFonts w:ascii="Times New Roman" w:eastAsia="MS Mincho" w:hAnsi="Times New Roman"/>
          <w:lang w:eastAsia="ja-JP"/>
        </w:rPr>
        <w:t xml:space="preserve">ue to human safety reasons, </w:t>
      </w:r>
      <w:r w:rsidR="009F4B07">
        <w:rPr>
          <w:rFonts w:ascii="Times New Roman" w:eastAsia="MS Mincho" w:hAnsi="Times New Roman"/>
          <w:lang w:eastAsia="ja-JP"/>
        </w:rPr>
        <w:t xml:space="preserve">a </w:t>
      </w:r>
      <w:r w:rsidRPr="00DE30BE">
        <w:rPr>
          <w:rFonts w:ascii="Times New Roman" w:eastAsia="MS Mincho" w:hAnsi="Times New Roman"/>
          <w:lang w:eastAsia="ja-JP"/>
        </w:rPr>
        <w:t xml:space="preserve">UE </w:t>
      </w:r>
      <w:r w:rsidR="009F4B07">
        <w:rPr>
          <w:rFonts w:ascii="Times New Roman" w:eastAsia="MS Mincho" w:hAnsi="Times New Roman"/>
          <w:lang w:eastAsia="ja-JP"/>
        </w:rPr>
        <w:t xml:space="preserve">may not be able to transmit in </w:t>
      </w:r>
      <w:r w:rsidRPr="00DE30BE">
        <w:rPr>
          <w:rFonts w:ascii="Times New Roman" w:eastAsia="MS Mincho" w:hAnsi="Times New Roman"/>
          <w:lang w:eastAsia="ja-JP"/>
        </w:rPr>
        <w:t>certain direction</w:t>
      </w:r>
      <w:r w:rsidR="009F4B07">
        <w:rPr>
          <w:rFonts w:ascii="Times New Roman" w:eastAsia="MS Mincho" w:hAnsi="Times New Roman"/>
          <w:lang w:eastAsia="ja-JP"/>
        </w:rPr>
        <w:t>s</w:t>
      </w:r>
      <w:r w:rsidRPr="00DE30BE">
        <w:rPr>
          <w:rFonts w:ascii="Times New Roman" w:eastAsia="MS Mincho" w:hAnsi="Times New Roman"/>
          <w:lang w:eastAsia="ja-JP"/>
        </w:rPr>
        <w:t xml:space="preserve">, or </w:t>
      </w:r>
      <w:r w:rsidR="009F4B07">
        <w:rPr>
          <w:rFonts w:ascii="Times New Roman" w:eastAsia="MS Mincho" w:hAnsi="Times New Roman"/>
          <w:lang w:eastAsia="ja-JP"/>
        </w:rPr>
        <w:t xml:space="preserve">alternatively </w:t>
      </w:r>
      <w:r w:rsidRPr="00DE30BE">
        <w:rPr>
          <w:rFonts w:ascii="Times New Roman" w:eastAsia="MS Mincho" w:hAnsi="Times New Roman"/>
          <w:lang w:eastAsia="ja-JP"/>
        </w:rPr>
        <w:t>the maximum Tx power is limited</w:t>
      </w:r>
      <w:r w:rsidR="009F4B07">
        <w:rPr>
          <w:rFonts w:ascii="Times New Roman" w:eastAsia="MS Mincho" w:hAnsi="Times New Roman"/>
          <w:lang w:eastAsia="ja-JP"/>
        </w:rPr>
        <w:t xml:space="preserve"> in certain directions</w:t>
      </w:r>
      <w:r w:rsidRPr="00DE30BE">
        <w:rPr>
          <w:rFonts w:ascii="Times New Roman" w:eastAsia="MS Mincho" w:hAnsi="Times New Roman"/>
          <w:lang w:eastAsia="ja-JP"/>
        </w:rPr>
        <w:t>.</w:t>
      </w:r>
      <w:r w:rsidR="005F2228">
        <w:rPr>
          <w:rFonts w:ascii="Times New Roman" w:eastAsia="MS Mincho" w:hAnsi="Times New Roman"/>
          <w:lang w:eastAsia="ja-JP"/>
        </w:rPr>
        <w:t xml:space="preserve"> </w:t>
      </w:r>
      <w:r w:rsidR="009F4B07">
        <w:rPr>
          <w:rFonts w:ascii="Times New Roman" w:eastAsia="MS Mincho" w:hAnsi="Times New Roman"/>
          <w:lang w:eastAsia="ja-JP"/>
        </w:rPr>
        <w:t>Consequently</w:t>
      </w:r>
      <w:r w:rsidR="005F2228">
        <w:rPr>
          <w:rFonts w:ascii="Times New Roman" w:eastAsia="MS Mincho" w:hAnsi="Times New Roman"/>
          <w:lang w:eastAsia="ja-JP"/>
        </w:rPr>
        <w:t>,</w:t>
      </w:r>
      <w:r w:rsidR="009F4B07">
        <w:rPr>
          <w:rFonts w:ascii="Times New Roman" w:eastAsia="MS Mincho" w:hAnsi="Times New Roman"/>
          <w:lang w:eastAsia="ja-JP"/>
        </w:rPr>
        <w:t xml:space="preserve"> when the DL beam traverses the human body, the best UL direction may not correspond to the best DL beam.</w:t>
      </w:r>
      <w:r w:rsidR="005F2228">
        <w:rPr>
          <w:rFonts w:ascii="Times New Roman" w:eastAsia="MS Mincho" w:hAnsi="Times New Roman"/>
          <w:lang w:eastAsia="ja-JP"/>
        </w:rPr>
        <w:t xml:space="preserve"> </w:t>
      </w:r>
    </w:p>
    <w:p w14:paraId="3605D77B" w14:textId="4E579D0F" w:rsidR="00DE30BE" w:rsidRPr="00DE30BE" w:rsidRDefault="00DE30BE" w:rsidP="003E5415">
      <w:pPr>
        <w:pStyle w:val="ListParagraph"/>
        <w:numPr>
          <w:ilvl w:val="0"/>
          <w:numId w:val="27"/>
        </w:numPr>
        <w:rPr>
          <w:rFonts w:ascii="Times New Roman" w:eastAsia="MS Mincho" w:hAnsi="Times New Roman"/>
          <w:lang w:eastAsia="ja-JP"/>
        </w:rPr>
      </w:pPr>
      <w:r w:rsidRPr="00DE30BE">
        <w:rPr>
          <w:rFonts w:ascii="Times New Roman" w:eastAsia="MS Mincho" w:hAnsi="Times New Roman"/>
          <w:lang w:eastAsia="ja-JP"/>
        </w:rPr>
        <w:t>Co-exist</w:t>
      </w:r>
      <w:r w:rsidR="009F4B07">
        <w:rPr>
          <w:rFonts w:ascii="Times New Roman" w:eastAsia="MS Mincho" w:hAnsi="Times New Roman"/>
          <w:lang w:eastAsia="ja-JP"/>
        </w:rPr>
        <w:t>ence</w:t>
      </w:r>
      <w:r w:rsidR="00330E73">
        <w:rPr>
          <w:rFonts w:ascii="Times New Roman" w:eastAsia="MS Mincho" w:hAnsi="Times New Roman"/>
          <w:lang w:eastAsia="ja-JP"/>
        </w:rPr>
        <w:t xml:space="preserve">: </w:t>
      </w:r>
      <w:r w:rsidRPr="00DE30BE">
        <w:rPr>
          <w:rFonts w:ascii="Times New Roman" w:eastAsia="MS Mincho" w:hAnsi="Times New Roman"/>
          <w:lang w:eastAsia="ja-JP"/>
        </w:rPr>
        <w:t xml:space="preserve">due to UE size </w:t>
      </w:r>
      <w:r w:rsidR="00330E73">
        <w:rPr>
          <w:rFonts w:ascii="Times New Roman" w:eastAsia="MS Mincho" w:hAnsi="Times New Roman"/>
          <w:lang w:eastAsia="ja-JP"/>
        </w:rPr>
        <w:t xml:space="preserve">and form factor </w:t>
      </w:r>
      <w:r w:rsidRPr="00DE30BE">
        <w:rPr>
          <w:rFonts w:ascii="Times New Roman" w:eastAsia="MS Mincho" w:hAnsi="Times New Roman"/>
          <w:lang w:eastAsia="ja-JP"/>
        </w:rPr>
        <w:t>limitation</w:t>
      </w:r>
      <w:r w:rsidR="009F4B07">
        <w:rPr>
          <w:rFonts w:ascii="Times New Roman" w:eastAsia="MS Mincho" w:hAnsi="Times New Roman"/>
          <w:lang w:eastAsia="ja-JP"/>
        </w:rPr>
        <w:t>s</w:t>
      </w:r>
      <w:r w:rsidRPr="00DE30BE">
        <w:rPr>
          <w:rFonts w:ascii="Times New Roman" w:eastAsia="MS Mincho" w:hAnsi="Times New Roman"/>
          <w:lang w:eastAsia="ja-JP"/>
        </w:rPr>
        <w:t>, a tightly packed UE device may need to support multiple radio technologies, e.g., 2G</w:t>
      </w:r>
      <w:r w:rsidR="00BC1E2D">
        <w:rPr>
          <w:rFonts w:ascii="Times New Roman" w:eastAsia="MS Mincho" w:hAnsi="Times New Roman"/>
          <w:lang w:eastAsia="ja-JP"/>
        </w:rPr>
        <w:t xml:space="preserve">, </w:t>
      </w:r>
      <w:r w:rsidRPr="00DE30BE">
        <w:rPr>
          <w:rFonts w:ascii="Times New Roman" w:eastAsia="MS Mincho" w:hAnsi="Times New Roman"/>
          <w:lang w:eastAsia="ja-JP"/>
        </w:rPr>
        <w:t>3G</w:t>
      </w:r>
      <w:r w:rsidR="00BC1E2D">
        <w:rPr>
          <w:rFonts w:ascii="Times New Roman" w:eastAsia="MS Mincho" w:hAnsi="Times New Roman"/>
          <w:lang w:eastAsia="ja-JP"/>
        </w:rPr>
        <w:t xml:space="preserve">, </w:t>
      </w:r>
      <w:r w:rsidRPr="00DE30BE">
        <w:rPr>
          <w:rFonts w:ascii="Times New Roman" w:eastAsia="MS Mincho" w:hAnsi="Times New Roman"/>
          <w:lang w:eastAsia="ja-JP"/>
        </w:rPr>
        <w:t>4G</w:t>
      </w:r>
      <w:r w:rsidR="00BC1E2D">
        <w:rPr>
          <w:rFonts w:ascii="Times New Roman" w:eastAsia="MS Mincho" w:hAnsi="Times New Roman"/>
          <w:lang w:eastAsia="ja-JP"/>
        </w:rPr>
        <w:t xml:space="preserve">, </w:t>
      </w:r>
      <w:r w:rsidRPr="00DE30BE">
        <w:rPr>
          <w:rFonts w:ascii="Times New Roman" w:eastAsia="MS Mincho" w:hAnsi="Times New Roman"/>
          <w:lang w:eastAsia="ja-JP"/>
        </w:rPr>
        <w:t>5G</w:t>
      </w:r>
      <w:r w:rsidR="00BC1E2D">
        <w:rPr>
          <w:rFonts w:ascii="Times New Roman" w:eastAsia="MS Mincho" w:hAnsi="Times New Roman"/>
          <w:lang w:eastAsia="ja-JP"/>
        </w:rPr>
        <w:t xml:space="preserve">, </w:t>
      </w:r>
      <w:r w:rsidR="00C83CEF" w:rsidRPr="00DE30BE">
        <w:rPr>
          <w:rFonts w:ascii="Times New Roman" w:eastAsia="MS Mincho" w:hAnsi="Times New Roman"/>
          <w:lang w:eastAsia="ja-JP"/>
        </w:rPr>
        <w:t>WIFI</w:t>
      </w:r>
      <w:r w:rsidR="00246EE2">
        <w:rPr>
          <w:rFonts w:ascii="Times New Roman" w:eastAsia="MS Mincho" w:hAnsi="Times New Roman"/>
          <w:lang w:eastAsia="ja-JP"/>
        </w:rPr>
        <w:t xml:space="preserve"> and </w:t>
      </w:r>
      <w:r w:rsidRPr="00DE30BE">
        <w:rPr>
          <w:rFonts w:ascii="Times New Roman" w:eastAsia="MS Mincho" w:hAnsi="Times New Roman"/>
          <w:lang w:eastAsia="ja-JP"/>
        </w:rPr>
        <w:t xml:space="preserve">Bluetooth. RF </w:t>
      </w:r>
      <w:r w:rsidR="000A3E62">
        <w:rPr>
          <w:rFonts w:ascii="Times New Roman" w:eastAsia="MS Mincho" w:hAnsi="Times New Roman"/>
          <w:lang w:eastAsia="ja-JP"/>
        </w:rPr>
        <w:t xml:space="preserve">signals </w:t>
      </w:r>
      <w:r w:rsidRPr="00DE30BE">
        <w:rPr>
          <w:rFonts w:ascii="Times New Roman" w:eastAsia="MS Mincho" w:hAnsi="Times New Roman"/>
          <w:lang w:eastAsia="ja-JP"/>
        </w:rPr>
        <w:t>from different technologies may interfere with each other, impos</w:t>
      </w:r>
      <w:r w:rsidR="009F4B07">
        <w:rPr>
          <w:rFonts w:ascii="Times New Roman" w:eastAsia="MS Mincho" w:hAnsi="Times New Roman"/>
          <w:lang w:eastAsia="ja-JP"/>
        </w:rPr>
        <w:t>ing</w:t>
      </w:r>
      <w:r w:rsidRPr="00DE30BE">
        <w:rPr>
          <w:rFonts w:ascii="Times New Roman" w:eastAsia="MS Mincho" w:hAnsi="Times New Roman"/>
          <w:lang w:eastAsia="ja-JP"/>
        </w:rPr>
        <w:t xml:space="preserve"> additional constraints on </w:t>
      </w:r>
      <w:r w:rsidR="00AE3D6E">
        <w:rPr>
          <w:rFonts w:ascii="Times New Roman" w:eastAsia="MS Mincho" w:hAnsi="Times New Roman"/>
          <w:lang w:eastAsia="ja-JP"/>
        </w:rPr>
        <w:t xml:space="preserve">multiple factors including </w:t>
      </w:r>
      <w:r w:rsidRPr="00DE30BE">
        <w:rPr>
          <w:rFonts w:ascii="Times New Roman" w:eastAsia="MS Mincho" w:hAnsi="Times New Roman"/>
          <w:lang w:eastAsia="ja-JP"/>
        </w:rPr>
        <w:t>NR Tx power</w:t>
      </w:r>
      <w:r w:rsidR="00AE3D6E">
        <w:rPr>
          <w:rFonts w:ascii="Times New Roman" w:eastAsia="MS Mincho" w:hAnsi="Times New Roman"/>
          <w:lang w:eastAsia="ja-JP"/>
        </w:rPr>
        <w:t xml:space="preserve">, NR </w:t>
      </w:r>
      <w:r w:rsidRPr="00DE30BE">
        <w:rPr>
          <w:rFonts w:ascii="Times New Roman" w:eastAsia="MS Mincho" w:hAnsi="Times New Roman"/>
          <w:lang w:eastAsia="ja-JP"/>
        </w:rPr>
        <w:t xml:space="preserve">Tx beam direction </w:t>
      </w:r>
      <w:r w:rsidR="00AE3D6E">
        <w:rPr>
          <w:rFonts w:ascii="Times New Roman" w:eastAsia="MS Mincho" w:hAnsi="Times New Roman"/>
          <w:lang w:eastAsia="ja-JP"/>
        </w:rPr>
        <w:t xml:space="preserve">and NR </w:t>
      </w:r>
      <w:r w:rsidRPr="00DE30BE">
        <w:rPr>
          <w:rFonts w:ascii="Times New Roman" w:eastAsia="MS Mincho" w:hAnsi="Times New Roman"/>
          <w:lang w:eastAsia="ja-JP"/>
        </w:rPr>
        <w:t>Tx panel</w:t>
      </w:r>
      <w:r w:rsidR="00AE3D6E">
        <w:rPr>
          <w:rFonts w:ascii="Times New Roman" w:eastAsia="MS Mincho" w:hAnsi="Times New Roman"/>
          <w:lang w:eastAsia="ja-JP"/>
        </w:rPr>
        <w:t xml:space="preserve"> selection</w:t>
      </w:r>
      <w:r w:rsidR="009F4B07">
        <w:rPr>
          <w:rFonts w:ascii="Times New Roman" w:eastAsia="MS Mincho" w:hAnsi="Times New Roman"/>
          <w:lang w:eastAsia="ja-JP"/>
        </w:rPr>
        <w:t xml:space="preserve"> for multi-panel UEs</w:t>
      </w:r>
      <w:r w:rsidRPr="00DE30BE">
        <w:rPr>
          <w:rFonts w:ascii="Times New Roman" w:eastAsia="MS Mincho" w:hAnsi="Times New Roman"/>
          <w:lang w:eastAsia="ja-JP"/>
        </w:rPr>
        <w:t>.</w:t>
      </w:r>
    </w:p>
    <w:p w14:paraId="73A68FC5" w14:textId="123139E5" w:rsidR="008C3191" w:rsidRPr="004F5C55" w:rsidRDefault="00DE30BE" w:rsidP="003E5415">
      <w:pPr>
        <w:pStyle w:val="ListParagraph"/>
        <w:numPr>
          <w:ilvl w:val="0"/>
          <w:numId w:val="27"/>
        </w:numPr>
        <w:rPr>
          <w:rFonts w:ascii="Times New Roman" w:eastAsia="MS Mincho" w:hAnsi="Times New Roman"/>
          <w:lang w:eastAsia="ja-JP"/>
        </w:rPr>
      </w:pPr>
      <w:r w:rsidRPr="00DE30BE">
        <w:rPr>
          <w:rFonts w:ascii="Times New Roman" w:eastAsia="MS Mincho" w:hAnsi="Times New Roman"/>
          <w:lang w:eastAsia="ja-JP"/>
        </w:rPr>
        <w:t>UE power saving</w:t>
      </w:r>
      <w:r w:rsidR="009B7016">
        <w:rPr>
          <w:rFonts w:ascii="Times New Roman" w:eastAsia="MS Mincho" w:hAnsi="Times New Roman"/>
          <w:lang w:eastAsia="ja-JP"/>
        </w:rPr>
        <w:t xml:space="preserve">: </w:t>
      </w:r>
      <w:r w:rsidRPr="00DE30BE">
        <w:rPr>
          <w:rFonts w:ascii="Times New Roman" w:eastAsia="MS Mincho" w:hAnsi="Times New Roman"/>
          <w:lang w:eastAsia="ja-JP"/>
        </w:rPr>
        <w:t>UE may want to use a different UL beam</w:t>
      </w:r>
      <w:r w:rsidR="00006650">
        <w:rPr>
          <w:rFonts w:ascii="Times New Roman" w:eastAsia="MS Mincho" w:hAnsi="Times New Roman"/>
          <w:lang w:eastAsia="ja-JP"/>
        </w:rPr>
        <w:t xml:space="preserve">, </w:t>
      </w:r>
      <w:r w:rsidRPr="00DE30BE">
        <w:rPr>
          <w:rFonts w:ascii="Times New Roman" w:eastAsia="MS Mincho" w:hAnsi="Times New Roman"/>
          <w:lang w:eastAsia="ja-JP"/>
        </w:rPr>
        <w:t xml:space="preserve">e.g., a wider beam with </w:t>
      </w:r>
      <w:r w:rsidR="008C3191" w:rsidRPr="00DE30BE">
        <w:rPr>
          <w:rFonts w:ascii="Times New Roman" w:eastAsia="MS Mincho" w:hAnsi="Times New Roman"/>
          <w:lang w:eastAsia="ja-JP"/>
        </w:rPr>
        <w:t>a smaller</w:t>
      </w:r>
      <w:r w:rsidRPr="00DE30BE">
        <w:rPr>
          <w:rFonts w:ascii="Times New Roman" w:eastAsia="MS Mincho" w:hAnsi="Times New Roman"/>
          <w:lang w:eastAsia="ja-JP"/>
        </w:rPr>
        <w:t xml:space="preserve"> number of antenna element</w:t>
      </w:r>
      <w:r w:rsidRPr="004F5C55">
        <w:rPr>
          <w:rFonts w:ascii="Times New Roman" w:eastAsia="MS Mincho" w:hAnsi="Times New Roman"/>
          <w:lang w:eastAsia="ja-JP"/>
        </w:rPr>
        <w:t xml:space="preserve">s to transmit, </w:t>
      </w:r>
      <w:r w:rsidR="00AD7C33" w:rsidRPr="004F5C55">
        <w:rPr>
          <w:rFonts w:ascii="Times New Roman" w:eastAsia="MS Mincho" w:hAnsi="Times New Roman"/>
          <w:lang w:eastAsia="ja-JP"/>
        </w:rPr>
        <w:t xml:space="preserve">in order to </w:t>
      </w:r>
      <w:r w:rsidRPr="004F5C55">
        <w:rPr>
          <w:rFonts w:ascii="Times New Roman" w:eastAsia="MS Mincho" w:hAnsi="Times New Roman"/>
          <w:lang w:eastAsia="ja-JP"/>
        </w:rPr>
        <w:t>achiev</w:t>
      </w:r>
      <w:r w:rsidR="00AD7C33" w:rsidRPr="004F5C55">
        <w:rPr>
          <w:rFonts w:ascii="Times New Roman" w:eastAsia="MS Mincho" w:hAnsi="Times New Roman"/>
          <w:lang w:eastAsia="ja-JP"/>
        </w:rPr>
        <w:t>e</w:t>
      </w:r>
      <w:r w:rsidRPr="004F5C55">
        <w:rPr>
          <w:rFonts w:ascii="Times New Roman" w:eastAsia="MS Mincho" w:hAnsi="Times New Roman"/>
          <w:lang w:eastAsia="ja-JP"/>
        </w:rPr>
        <w:t xml:space="preserve"> </w:t>
      </w:r>
      <w:r w:rsidR="009049FE" w:rsidRPr="004F5C55">
        <w:rPr>
          <w:rFonts w:ascii="Times New Roman" w:eastAsia="MS Mincho" w:hAnsi="Times New Roman"/>
          <w:lang w:eastAsia="ja-JP"/>
        </w:rPr>
        <w:t>better</w:t>
      </w:r>
      <w:r w:rsidRPr="004F5C55">
        <w:rPr>
          <w:rFonts w:ascii="Times New Roman" w:eastAsia="MS Mincho" w:hAnsi="Times New Roman"/>
          <w:lang w:eastAsia="ja-JP"/>
        </w:rPr>
        <w:t xml:space="preserve"> tradeoff between power and performance.</w:t>
      </w:r>
      <w:r w:rsidR="00531464" w:rsidRPr="004F5C55">
        <w:rPr>
          <w:rFonts w:ascii="Times New Roman" w:eastAsia="MS Mincho" w:hAnsi="Times New Roman"/>
          <w:lang w:eastAsia="ja-JP"/>
        </w:rPr>
        <w:t xml:space="preserve"> </w:t>
      </w:r>
    </w:p>
    <w:p w14:paraId="7421376F" w14:textId="21BA5A10" w:rsidR="00197A1A" w:rsidRPr="004F5C55" w:rsidRDefault="008C3191" w:rsidP="003E5415">
      <w:pPr>
        <w:pStyle w:val="ListParagraph"/>
        <w:numPr>
          <w:ilvl w:val="0"/>
          <w:numId w:val="27"/>
        </w:numPr>
        <w:rPr>
          <w:rFonts w:ascii="Times New Roman" w:eastAsia="MS Mincho" w:hAnsi="Times New Roman"/>
          <w:lang w:eastAsia="ja-JP"/>
        </w:rPr>
      </w:pPr>
      <w:r w:rsidRPr="004F5C55">
        <w:rPr>
          <w:rFonts w:ascii="Times New Roman" w:eastAsia="MS Mincho" w:hAnsi="Times New Roman"/>
          <w:lang w:eastAsia="ja-JP"/>
        </w:rPr>
        <w:t>UL and DL beam selection criterion: DL and UL transmission</w:t>
      </w:r>
      <w:r w:rsidR="00544589">
        <w:rPr>
          <w:rFonts w:ascii="Times New Roman" w:eastAsia="MS Mincho" w:hAnsi="Times New Roman"/>
          <w:lang w:eastAsia="ja-JP"/>
        </w:rPr>
        <w:t xml:space="preserve">s differ in interference profiles and </w:t>
      </w:r>
      <w:r w:rsidRPr="004F5C55">
        <w:rPr>
          <w:rFonts w:ascii="Times New Roman" w:eastAsia="MS Mincho" w:hAnsi="Times New Roman"/>
          <w:lang w:eastAsia="ja-JP"/>
        </w:rPr>
        <w:t xml:space="preserve">  receiver capabilit</w:t>
      </w:r>
      <w:r w:rsidR="00544589">
        <w:rPr>
          <w:rFonts w:ascii="Times New Roman" w:eastAsia="MS Mincho" w:hAnsi="Times New Roman"/>
          <w:lang w:eastAsia="ja-JP"/>
        </w:rPr>
        <w:t>y at the opposing transceiver</w:t>
      </w:r>
      <w:r w:rsidRPr="004F5C55">
        <w:rPr>
          <w:rFonts w:ascii="Times New Roman" w:eastAsia="MS Mincho" w:hAnsi="Times New Roman"/>
          <w:lang w:eastAsia="ja-JP"/>
        </w:rPr>
        <w:t xml:space="preserve">. </w:t>
      </w:r>
      <w:r w:rsidR="00197A1A" w:rsidRPr="004F5C55">
        <w:rPr>
          <w:rFonts w:ascii="Times New Roman" w:eastAsia="MS Mincho" w:hAnsi="Times New Roman"/>
          <w:lang w:eastAsia="ja-JP"/>
        </w:rPr>
        <w:t xml:space="preserve">In </w:t>
      </w:r>
      <w:r w:rsidR="0064099F">
        <w:rPr>
          <w:rFonts w:ascii="Times New Roman" w:eastAsia="MS Mincho" w:hAnsi="Times New Roman"/>
          <w:lang w:eastAsia="ja-JP"/>
        </w:rPr>
        <w:t xml:space="preserve">previous </w:t>
      </w:r>
      <w:r w:rsidR="00197A1A" w:rsidRPr="004F5C55">
        <w:rPr>
          <w:rFonts w:ascii="Times New Roman" w:eastAsia="MS Mincho" w:hAnsi="Times New Roman"/>
          <w:lang w:eastAsia="ja-JP"/>
        </w:rPr>
        <w:t xml:space="preserve">RAN1 meeting, </w:t>
      </w:r>
      <w:r w:rsidR="004F5C55" w:rsidRPr="004F5C55">
        <w:rPr>
          <w:rFonts w:ascii="Times New Roman" w:eastAsia="MS Mincho" w:hAnsi="Times New Roman"/>
          <w:lang w:eastAsia="ja-JP"/>
        </w:rPr>
        <w:t>it was agreed to support L1-SINR as addition</w:t>
      </w:r>
      <w:r w:rsidR="00DB14CC">
        <w:rPr>
          <w:rFonts w:ascii="Times New Roman" w:eastAsia="MS Mincho" w:hAnsi="Times New Roman"/>
          <w:lang w:eastAsia="ja-JP"/>
        </w:rPr>
        <w:t>al</w:t>
      </w:r>
      <w:r w:rsidR="004F5C55" w:rsidRPr="004F5C55">
        <w:rPr>
          <w:rFonts w:ascii="Times New Roman" w:eastAsia="MS Mincho" w:hAnsi="Times New Roman"/>
          <w:lang w:eastAsia="ja-JP"/>
        </w:rPr>
        <w:t xml:space="preserve"> measurement report metric. L1-SINR reflects both the DL interference condition and the UE receiver capability</w:t>
      </w:r>
      <w:r w:rsidR="004F5C55">
        <w:rPr>
          <w:rFonts w:ascii="Times New Roman" w:eastAsia="MS Mincho" w:hAnsi="Times New Roman"/>
          <w:lang w:eastAsia="ja-JP"/>
        </w:rPr>
        <w:t xml:space="preserve"> which make</w:t>
      </w:r>
      <w:r w:rsidR="008F018B">
        <w:rPr>
          <w:rFonts w:ascii="Times New Roman" w:eastAsia="MS Mincho" w:hAnsi="Times New Roman"/>
          <w:lang w:eastAsia="ja-JP"/>
        </w:rPr>
        <w:t>s</w:t>
      </w:r>
      <w:r w:rsidR="004F5C55">
        <w:rPr>
          <w:rFonts w:ascii="Times New Roman" w:eastAsia="MS Mincho" w:hAnsi="Times New Roman"/>
          <w:lang w:eastAsia="ja-JP"/>
        </w:rPr>
        <w:t xml:space="preserve"> it very useful for the DL beam selection. However, for UL beam selection</w:t>
      </w:r>
      <w:r w:rsidR="00DB14CC">
        <w:rPr>
          <w:rFonts w:ascii="Times New Roman" w:eastAsia="MS Mincho" w:hAnsi="Times New Roman"/>
          <w:lang w:eastAsia="ja-JP"/>
        </w:rPr>
        <w:t xml:space="preserve"> with beam correspondence</w:t>
      </w:r>
      <w:r w:rsidR="004F5C55">
        <w:rPr>
          <w:rFonts w:ascii="Times New Roman" w:eastAsia="MS Mincho" w:hAnsi="Times New Roman"/>
          <w:lang w:eastAsia="ja-JP"/>
        </w:rPr>
        <w:t xml:space="preserve">, L1-RSRP </w:t>
      </w:r>
      <w:r w:rsidR="00544589">
        <w:rPr>
          <w:rFonts w:ascii="Times New Roman" w:eastAsia="MS Mincho" w:hAnsi="Times New Roman"/>
          <w:lang w:eastAsia="ja-JP"/>
        </w:rPr>
        <w:t xml:space="preserve">is a preferred </w:t>
      </w:r>
      <w:r w:rsidR="004F5C55">
        <w:rPr>
          <w:rFonts w:ascii="Times New Roman" w:eastAsia="MS Mincho" w:hAnsi="Times New Roman"/>
          <w:lang w:eastAsia="ja-JP"/>
        </w:rPr>
        <w:t xml:space="preserve">metric as it </w:t>
      </w:r>
      <w:r w:rsidR="00544589">
        <w:rPr>
          <w:rFonts w:ascii="Times New Roman" w:eastAsia="MS Mincho" w:hAnsi="Times New Roman"/>
          <w:lang w:eastAsia="ja-JP"/>
        </w:rPr>
        <w:t xml:space="preserve">better </w:t>
      </w:r>
      <w:r w:rsidR="004F5C55">
        <w:rPr>
          <w:rFonts w:ascii="Times New Roman" w:eastAsia="MS Mincho" w:hAnsi="Times New Roman"/>
          <w:lang w:eastAsia="ja-JP"/>
        </w:rPr>
        <w:t xml:space="preserve">reflects the UL channel </w:t>
      </w:r>
      <w:r w:rsidR="00EC2B1F">
        <w:rPr>
          <w:rFonts w:ascii="Times New Roman" w:eastAsia="MS Mincho" w:hAnsi="Times New Roman"/>
          <w:lang w:eastAsia="ja-JP"/>
        </w:rPr>
        <w:t>condition</w:t>
      </w:r>
      <w:r w:rsidR="004F5C55">
        <w:rPr>
          <w:rFonts w:ascii="Times New Roman" w:eastAsia="MS Mincho" w:hAnsi="Times New Roman"/>
          <w:lang w:eastAsia="ja-JP"/>
        </w:rPr>
        <w:t xml:space="preserve"> </w:t>
      </w:r>
      <w:r w:rsidR="00544589">
        <w:rPr>
          <w:rFonts w:ascii="Times New Roman" w:eastAsia="MS Mincho" w:hAnsi="Times New Roman"/>
          <w:lang w:eastAsia="ja-JP"/>
        </w:rPr>
        <w:t xml:space="preserve">which the </w:t>
      </w:r>
      <w:r w:rsidR="004F5C55">
        <w:rPr>
          <w:rFonts w:ascii="Times New Roman" w:eastAsia="MS Mincho" w:hAnsi="Times New Roman"/>
          <w:lang w:eastAsia="ja-JP"/>
        </w:rPr>
        <w:t xml:space="preserve">gNB </w:t>
      </w:r>
      <w:r w:rsidR="00544589">
        <w:rPr>
          <w:rFonts w:ascii="Times New Roman" w:eastAsia="MS Mincho" w:hAnsi="Times New Roman"/>
          <w:lang w:eastAsia="ja-JP"/>
        </w:rPr>
        <w:t>can utilize in conjunction with its knowledge</w:t>
      </w:r>
      <w:r w:rsidR="004F5C55">
        <w:rPr>
          <w:rFonts w:ascii="Times New Roman" w:eastAsia="MS Mincho" w:hAnsi="Times New Roman"/>
          <w:lang w:eastAsia="ja-JP"/>
        </w:rPr>
        <w:t xml:space="preserve"> </w:t>
      </w:r>
      <w:r w:rsidR="00544589">
        <w:rPr>
          <w:rFonts w:ascii="Times New Roman" w:eastAsia="MS Mincho" w:hAnsi="Times New Roman"/>
          <w:lang w:eastAsia="ja-JP"/>
        </w:rPr>
        <w:t>of</w:t>
      </w:r>
      <w:r w:rsidR="004F5C55">
        <w:rPr>
          <w:rFonts w:ascii="Times New Roman" w:eastAsia="MS Mincho" w:hAnsi="Times New Roman"/>
          <w:lang w:eastAsia="ja-JP"/>
        </w:rPr>
        <w:t xml:space="preserve"> interference and </w:t>
      </w:r>
      <w:r w:rsidR="00544589">
        <w:rPr>
          <w:rFonts w:ascii="Times New Roman" w:eastAsia="MS Mincho" w:hAnsi="Times New Roman"/>
          <w:lang w:eastAsia="ja-JP"/>
        </w:rPr>
        <w:t xml:space="preserve">its own </w:t>
      </w:r>
      <w:r w:rsidR="004F5C55">
        <w:rPr>
          <w:rFonts w:ascii="Times New Roman" w:eastAsia="MS Mincho" w:hAnsi="Times New Roman"/>
          <w:lang w:eastAsia="ja-JP"/>
        </w:rPr>
        <w:t>receiver</w:t>
      </w:r>
      <w:r w:rsidR="00544589">
        <w:rPr>
          <w:rFonts w:ascii="Times New Roman" w:eastAsia="MS Mincho" w:hAnsi="Times New Roman"/>
          <w:lang w:eastAsia="ja-JP"/>
        </w:rPr>
        <w:t xml:space="preserve"> implementation</w:t>
      </w:r>
      <w:r w:rsidR="004F5C55">
        <w:rPr>
          <w:rFonts w:ascii="Times New Roman" w:eastAsia="MS Mincho" w:hAnsi="Times New Roman"/>
          <w:lang w:eastAsia="ja-JP"/>
        </w:rPr>
        <w:t>.</w:t>
      </w:r>
      <w:r w:rsidR="004F5C55" w:rsidRPr="004F5C55">
        <w:rPr>
          <w:rFonts w:ascii="Times New Roman" w:eastAsia="MS Mincho" w:hAnsi="Times New Roman"/>
          <w:lang w:eastAsia="ja-JP"/>
        </w:rPr>
        <w:t xml:space="preserve"> </w:t>
      </w:r>
    </w:p>
    <w:p w14:paraId="63E0DF17" w14:textId="77777777" w:rsidR="004713B8" w:rsidRDefault="004713B8" w:rsidP="004A311F">
      <w:pPr>
        <w:rPr>
          <w:rFonts w:eastAsia="MS Mincho"/>
          <w:sz w:val="22"/>
          <w:szCs w:val="22"/>
          <w:lang w:eastAsia="ja-JP"/>
        </w:rPr>
      </w:pPr>
    </w:p>
    <w:p w14:paraId="198FA603" w14:textId="3900586C" w:rsidR="004713B8" w:rsidRDefault="004713B8" w:rsidP="004A311F">
      <w:pPr>
        <w:rPr>
          <w:rFonts w:eastAsia="MS Mincho"/>
          <w:sz w:val="22"/>
          <w:szCs w:val="22"/>
          <w:lang w:eastAsia="ja-JP"/>
        </w:rPr>
      </w:pPr>
      <w:r>
        <w:rPr>
          <w:rFonts w:eastAsia="MS Mincho"/>
          <w:sz w:val="22"/>
          <w:szCs w:val="22"/>
          <w:lang w:eastAsia="ja-JP"/>
        </w:rPr>
        <w:t>Based on the above discussion, we believe it is useful to support separate beam measurement report</w:t>
      </w:r>
      <w:r w:rsidR="00544589">
        <w:rPr>
          <w:rFonts w:eastAsia="MS Mincho"/>
          <w:sz w:val="22"/>
          <w:szCs w:val="22"/>
          <w:lang w:eastAsia="ja-JP"/>
        </w:rPr>
        <w:t>s</w:t>
      </w:r>
      <w:r>
        <w:rPr>
          <w:rFonts w:eastAsia="MS Mincho"/>
          <w:sz w:val="22"/>
          <w:szCs w:val="22"/>
          <w:lang w:eastAsia="ja-JP"/>
        </w:rPr>
        <w:t xml:space="preserve"> for DL and UL beam management</w:t>
      </w:r>
      <w:r w:rsidR="00DB14CC">
        <w:rPr>
          <w:rFonts w:eastAsia="MS Mincho"/>
          <w:sz w:val="22"/>
          <w:szCs w:val="22"/>
          <w:lang w:eastAsia="ja-JP"/>
        </w:rPr>
        <w:t xml:space="preserve"> at least for UE</w:t>
      </w:r>
      <w:r w:rsidR="00397521">
        <w:rPr>
          <w:rFonts w:eastAsia="MS Mincho"/>
          <w:sz w:val="22"/>
          <w:szCs w:val="22"/>
          <w:lang w:eastAsia="ja-JP"/>
        </w:rPr>
        <w:t>s</w:t>
      </w:r>
      <w:r w:rsidR="00DB14CC">
        <w:rPr>
          <w:rFonts w:eastAsia="MS Mincho"/>
          <w:sz w:val="22"/>
          <w:szCs w:val="22"/>
          <w:lang w:eastAsia="ja-JP"/>
        </w:rPr>
        <w:t xml:space="preserve"> with beam correspondence</w:t>
      </w:r>
      <w:r w:rsidR="00467933">
        <w:rPr>
          <w:rFonts w:eastAsia="MS Mincho"/>
          <w:sz w:val="22"/>
          <w:szCs w:val="22"/>
          <w:lang w:eastAsia="ja-JP"/>
        </w:rPr>
        <w:t>.</w:t>
      </w:r>
    </w:p>
    <w:p w14:paraId="5E20B69C" w14:textId="77777777" w:rsidR="004713B8" w:rsidRDefault="004713B8" w:rsidP="004A311F">
      <w:pPr>
        <w:rPr>
          <w:rFonts w:eastAsia="MS Mincho"/>
          <w:sz w:val="22"/>
          <w:szCs w:val="22"/>
          <w:lang w:eastAsia="ja-JP"/>
        </w:rPr>
      </w:pPr>
    </w:p>
    <w:p w14:paraId="1EB518D7" w14:textId="59C31427" w:rsidR="002C15EB" w:rsidRDefault="002C15EB" w:rsidP="002C15EB">
      <w:pPr>
        <w:rPr>
          <w:rFonts w:eastAsia="SimSun"/>
          <w:b/>
          <w:i/>
          <w:sz w:val="22"/>
          <w:szCs w:val="22"/>
        </w:rPr>
      </w:pPr>
      <w:r>
        <w:rPr>
          <w:rFonts w:eastAsia="SimSun"/>
          <w:b/>
          <w:bCs/>
          <w:i/>
          <w:sz w:val="22"/>
          <w:szCs w:val="22"/>
          <w:u w:val="single"/>
        </w:rPr>
        <w:t xml:space="preserve">Proposal </w:t>
      </w:r>
      <w:r w:rsidR="00091999">
        <w:rPr>
          <w:rFonts w:eastAsia="SimSun"/>
          <w:b/>
          <w:bCs/>
          <w:i/>
          <w:sz w:val="22"/>
          <w:szCs w:val="22"/>
          <w:u w:val="single"/>
        </w:rPr>
        <w:t>2</w:t>
      </w:r>
      <w:r w:rsidRPr="00CD41CD">
        <w:rPr>
          <w:rFonts w:eastAsia="SimSun"/>
          <w:bCs/>
          <w:i/>
          <w:szCs w:val="22"/>
        </w:rPr>
        <w:t xml:space="preserve">: </w:t>
      </w:r>
      <w:r>
        <w:rPr>
          <w:rFonts w:eastAsia="SimSun"/>
          <w:b/>
          <w:i/>
          <w:sz w:val="22"/>
          <w:szCs w:val="22"/>
        </w:rPr>
        <w:t>Rel-16 NR</w:t>
      </w:r>
      <w:r w:rsidRPr="002C15EB">
        <w:t xml:space="preserve"> </w:t>
      </w:r>
      <w:r w:rsidRPr="002C15EB">
        <w:rPr>
          <w:rFonts w:eastAsia="SimSun"/>
          <w:b/>
          <w:i/>
          <w:sz w:val="22"/>
          <w:szCs w:val="22"/>
        </w:rPr>
        <w:t>support</w:t>
      </w:r>
      <w:r>
        <w:rPr>
          <w:rFonts w:eastAsia="SimSun"/>
          <w:b/>
          <w:i/>
          <w:sz w:val="22"/>
          <w:szCs w:val="22"/>
        </w:rPr>
        <w:t>s</w:t>
      </w:r>
      <w:r w:rsidRPr="002C15EB">
        <w:rPr>
          <w:rFonts w:eastAsia="SimSun"/>
          <w:b/>
          <w:i/>
          <w:sz w:val="22"/>
          <w:szCs w:val="22"/>
        </w:rPr>
        <w:t xml:space="preserve"> separate beam measurement report for DL and UL beam management</w:t>
      </w:r>
    </w:p>
    <w:p w14:paraId="7507E3E0" w14:textId="4F732630" w:rsidR="008E6F77" w:rsidRDefault="008E6F77" w:rsidP="00981043">
      <w:pPr>
        <w:pStyle w:val="Heading2"/>
      </w:pPr>
      <w:r>
        <w:t>Mechanisms for Separate UL and DL beam Measurement Report</w:t>
      </w:r>
    </w:p>
    <w:p w14:paraId="6D52BBC4" w14:textId="1F6759FD" w:rsidR="00300A16" w:rsidRDefault="00651EC3" w:rsidP="0026379A">
      <w:pPr>
        <w:rPr>
          <w:sz w:val="22"/>
        </w:rPr>
      </w:pPr>
      <w:r>
        <w:rPr>
          <w:sz w:val="22"/>
        </w:rPr>
        <w:t xml:space="preserve">The term </w:t>
      </w:r>
      <w:r w:rsidR="0090427B">
        <w:rPr>
          <w:sz w:val="22"/>
        </w:rPr>
        <w:t>“</w:t>
      </w:r>
      <w:r>
        <w:rPr>
          <w:sz w:val="22"/>
        </w:rPr>
        <w:t xml:space="preserve">separate </w:t>
      </w:r>
      <w:r w:rsidR="00300A16">
        <w:rPr>
          <w:sz w:val="22"/>
        </w:rPr>
        <w:t>UL and DL beam measurement report</w:t>
      </w:r>
      <w:r w:rsidR="0090427B">
        <w:rPr>
          <w:sz w:val="22"/>
        </w:rPr>
        <w:t>” could</w:t>
      </w:r>
      <w:r w:rsidR="00300A16">
        <w:rPr>
          <w:sz w:val="22"/>
        </w:rPr>
        <w:t xml:space="preserve"> simply mean </w:t>
      </w:r>
      <w:r w:rsidR="009D2DF2">
        <w:rPr>
          <w:sz w:val="22"/>
        </w:rPr>
        <w:t xml:space="preserve">that </w:t>
      </w:r>
      <w:r w:rsidR="00300A16">
        <w:rPr>
          <w:sz w:val="22"/>
        </w:rPr>
        <w:t>additional enhancement is needed to complement the existing DL beam measurement report. The enhancement can be done in many different forms, we consider a few options here</w:t>
      </w:r>
      <w:r w:rsidR="00DB14CC">
        <w:rPr>
          <w:sz w:val="22"/>
        </w:rPr>
        <w:t>.</w:t>
      </w:r>
    </w:p>
    <w:p w14:paraId="31290E57" w14:textId="77777777" w:rsidR="00300A16" w:rsidRDefault="00300A16" w:rsidP="0026379A">
      <w:pPr>
        <w:rPr>
          <w:sz w:val="22"/>
        </w:rPr>
      </w:pPr>
    </w:p>
    <w:p w14:paraId="0608C8A5" w14:textId="53486B1C" w:rsidR="00E90B43" w:rsidRDefault="00397521" w:rsidP="0026379A">
      <w:pPr>
        <w:rPr>
          <w:sz w:val="22"/>
        </w:rPr>
      </w:pPr>
      <w:r>
        <w:rPr>
          <w:sz w:val="22"/>
        </w:rPr>
        <w:t>Currently, f</w:t>
      </w:r>
      <w:r w:rsidR="00AC1E3C">
        <w:rPr>
          <w:sz w:val="22"/>
        </w:rPr>
        <w:t>or a UE that support</w:t>
      </w:r>
      <w:r>
        <w:rPr>
          <w:sz w:val="22"/>
        </w:rPr>
        <w:t>s</w:t>
      </w:r>
      <w:r w:rsidR="00AC1E3C">
        <w:rPr>
          <w:sz w:val="22"/>
        </w:rPr>
        <w:t xml:space="preserve"> beam correspondence,</w:t>
      </w:r>
      <w:r w:rsidR="00300A16">
        <w:rPr>
          <w:sz w:val="22"/>
        </w:rPr>
        <w:t xml:space="preserve"> </w:t>
      </w:r>
      <w:r>
        <w:rPr>
          <w:sz w:val="22"/>
        </w:rPr>
        <w:t xml:space="preserve">the </w:t>
      </w:r>
      <w:r w:rsidR="00300A16">
        <w:rPr>
          <w:sz w:val="22"/>
        </w:rPr>
        <w:t xml:space="preserve">UL beam </w:t>
      </w:r>
      <w:r>
        <w:rPr>
          <w:sz w:val="22"/>
        </w:rPr>
        <w:t xml:space="preserve">is </w:t>
      </w:r>
      <w:r w:rsidR="00300A16">
        <w:rPr>
          <w:sz w:val="22"/>
        </w:rPr>
        <w:t>indicat</w:t>
      </w:r>
      <w:r>
        <w:rPr>
          <w:sz w:val="22"/>
        </w:rPr>
        <w:t>ed</w:t>
      </w:r>
      <w:r w:rsidR="00300A16">
        <w:rPr>
          <w:sz w:val="22"/>
        </w:rPr>
        <w:t xml:space="preserve"> </w:t>
      </w:r>
      <w:r>
        <w:rPr>
          <w:sz w:val="22"/>
        </w:rPr>
        <w:t xml:space="preserve">by </w:t>
      </w:r>
      <w:r w:rsidR="00300A16">
        <w:rPr>
          <w:sz w:val="22"/>
        </w:rPr>
        <w:t>direct or indirect index</w:t>
      </w:r>
      <w:r>
        <w:rPr>
          <w:sz w:val="22"/>
        </w:rPr>
        <w:t>ing</w:t>
      </w:r>
      <w:r w:rsidR="00300A16">
        <w:rPr>
          <w:sz w:val="22"/>
        </w:rPr>
        <w:t xml:space="preserve"> to CSI-RS or SSB</w:t>
      </w:r>
      <w:r w:rsidR="00AC1E3C">
        <w:rPr>
          <w:sz w:val="22"/>
        </w:rPr>
        <w:t>,</w:t>
      </w:r>
      <w:r w:rsidR="00300A16">
        <w:rPr>
          <w:sz w:val="22"/>
        </w:rPr>
        <w:t xml:space="preserve"> </w:t>
      </w:r>
      <w:r w:rsidR="00F17955">
        <w:rPr>
          <w:sz w:val="22"/>
        </w:rPr>
        <w:t>as part of</w:t>
      </w:r>
      <w:r w:rsidR="00300A16">
        <w:rPr>
          <w:sz w:val="22"/>
        </w:rPr>
        <w:t xml:space="preserve"> DL beam management. </w:t>
      </w:r>
      <w:r w:rsidR="00E90B43">
        <w:rPr>
          <w:sz w:val="22"/>
        </w:rPr>
        <w:t xml:space="preserve">When NW indicates to the UE a beam to be used for UL transmission, the NW typically chooses the beam based on the DL measurement. As discussed before, </w:t>
      </w:r>
      <w:r w:rsidR="00F17955">
        <w:rPr>
          <w:sz w:val="22"/>
        </w:rPr>
        <w:t xml:space="preserve">a </w:t>
      </w:r>
      <w:r w:rsidR="00E90B43">
        <w:rPr>
          <w:sz w:val="22"/>
        </w:rPr>
        <w:t xml:space="preserve">UE may </w:t>
      </w:r>
      <w:r w:rsidR="009D23E1">
        <w:rPr>
          <w:sz w:val="22"/>
        </w:rPr>
        <w:t xml:space="preserve">be </w:t>
      </w:r>
      <w:r w:rsidR="00E90B43">
        <w:rPr>
          <w:sz w:val="22"/>
        </w:rPr>
        <w:t>subject to additional constraint</w:t>
      </w:r>
      <w:r w:rsidR="009D23E1">
        <w:rPr>
          <w:sz w:val="22"/>
        </w:rPr>
        <w:t>s</w:t>
      </w:r>
      <w:r w:rsidR="00E90B43">
        <w:rPr>
          <w:sz w:val="22"/>
        </w:rPr>
        <w:t xml:space="preserve"> such as MPE, in-device multi-RAT co-existence and thermal </w:t>
      </w:r>
      <w:r w:rsidR="00F17955">
        <w:rPr>
          <w:sz w:val="22"/>
        </w:rPr>
        <w:t>considerations</w:t>
      </w:r>
      <w:r w:rsidR="00E90B43">
        <w:rPr>
          <w:sz w:val="22"/>
        </w:rPr>
        <w:t xml:space="preserve"> which is local information </w:t>
      </w:r>
      <w:r w:rsidR="00F17955">
        <w:rPr>
          <w:sz w:val="22"/>
        </w:rPr>
        <w:t xml:space="preserve">available </w:t>
      </w:r>
      <w:r w:rsidR="00E90B43">
        <w:rPr>
          <w:sz w:val="22"/>
        </w:rPr>
        <w:t xml:space="preserve">to each UE. Therefore, it is reasonable to relax the UL beam indication requirement such </w:t>
      </w:r>
      <w:r w:rsidR="00494199">
        <w:rPr>
          <w:sz w:val="22"/>
        </w:rPr>
        <w:t>that</w:t>
      </w:r>
      <w:r w:rsidR="00E90B43">
        <w:rPr>
          <w:sz w:val="22"/>
        </w:rPr>
        <w:t xml:space="preserve"> UE </w:t>
      </w:r>
      <w:r w:rsidR="00F17955">
        <w:rPr>
          <w:sz w:val="22"/>
        </w:rPr>
        <w:t>is</w:t>
      </w:r>
      <w:r w:rsidR="00E90B43">
        <w:rPr>
          <w:sz w:val="22"/>
        </w:rPr>
        <w:t xml:space="preserve"> allowed to use </w:t>
      </w:r>
      <w:r w:rsidR="009D23E1">
        <w:rPr>
          <w:sz w:val="22"/>
        </w:rPr>
        <w:t xml:space="preserve">a </w:t>
      </w:r>
      <w:r w:rsidR="00E90B43">
        <w:rPr>
          <w:sz w:val="22"/>
        </w:rPr>
        <w:t>different beam than the indicated beam as long as the beam condition is comparable or better than the indicated beam</w:t>
      </w:r>
      <w:r w:rsidR="009D23E1">
        <w:rPr>
          <w:sz w:val="22"/>
        </w:rPr>
        <w:t>.</w:t>
      </w:r>
    </w:p>
    <w:p w14:paraId="782B27A0" w14:textId="77777777" w:rsidR="00E90B43" w:rsidRDefault="00E90B43" w:rsidP="0026379A">
      <w:pPr>
        <w:rPr>
          <w:sz w:val="22"/>
        </w:rPr>
      </w:pPr>
    </w:p>
    <w:p w14:paraId="40207DFE" w14:textId="26295A42" w:rsidR="00E90B43" w:rsidRDefault="00E90B43" w:rsidP="00E90B43">
      <w:pPr>
        <w:rPr>
          <w:rFonts w:eastAsia="SimSun"/>
          <w:b/>
          <w:i/>
          <w:sz w:val="22"/>
          <w:szCs w:val="22"/>
        </w:rPr>
      </w:pPr>
      <w:r>
        <w:rPr>
          <w:rFonts w:eastAsia="SimSun"/>
          <w:b/>
          <w:bCs/>
          <w:i/>
          <w:sz w:val="22"/>
          <w:szCs w:val="22"/>
          <w:u w:val="single"/>
        </w:rPr>
        <w:t xml:space="preserve">Proposal </w:t>
      </w:r>
      <w:r w:rsidR="00091999">
        <w:rPr>
          <w:rFonts w:eastAsia="SimSun"/>
          <w:b/>
          <w:bCs/>
          <w:i/>
          <w:sz w:val="22"/>
          <w:szCs w:val="22"/>
          <w:u w:val="single"/>
        </w:rPr>
        <w:t>3</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considers relax</w:t>
      </w:r>
      <w:r w:rsidR="00F17955">
        <w:rPr>
          <w:rFonts w:eastAsia="SimSun"/>
          <w:b/>
          <w:i/>
          <w:sz w:val="22"/>
          <w:szCs w:val="22"/>
        </w:rPr>
        <w:t>ation of</w:t>
      </w:r>
      <w:r>
        <w:rPr>
          <w:rFonts w:eastAsia="SimSun"/>
          <w:b/>
          <w:i/>
          <w:sz w:val="22"/>
          <w:szCs w:val="22"/>
        </w:rPr>
        <w:t xml:space="preserve"> the UL beam indication requirement by providing </w:t>
      </w:r>
      <w:r w:rsidR="00F17955">
        <w:rPr>
          <w:rFonts w:eastAsia="SimSun"/>
          <w:b/>
          <w:i/>
          <w:sz w:val="22"/>
          <w:szCs w:val="22"/>
        </w:rPr>
        <w:t xml:space="preserve">a </w:t>
      </w:r>
      <w:r>
        <w:rPr>
          <w:rFonts w:eastAsia="SimSun"/>
          <w:b/>
          <w:i/>
          <w:sz w:val="22"/>
          <w:szCs w:val="22"/>
        </w:rPr>
        <w:t xml:space="preserve">UE with more flexibility in terms of choosing </w:t>
      </w:r>
      <w:r w:rsidR="00F17955">
        <w:rPr>
          <w:rFonts w:eastAsia="SimSun"/>
          <w:b/>
          <w:i/>
          <w:sz w:val="22"/>
          <w:szCs w:val="22"/>
        </w:rPr>
        <w:t xml:space="preserve">the </w:t>
      </w:r>
      <w:r>
        <w:rPr>
          <w:rFonts w:eastAsia="SimSun"/>
          <w:b/>
          <w:i/>
          <w:sz w:val="22"/>
          <w:szCs w:val="22"/>
        </w:rPr>
        <w:t>UL beam</w:t>
      </w:r>
      <w:r w:rsidR="00F17955">
        <w:rPr>
          <w:rFonts w:eastAsia="SimSun"/>
          <w:b/>
          <w:i/>
          <w:sz w:val="22"/>
          <w:szCs w:val="22"/>
        </w:rPr>
        <w:t>.</w:t>
      </w:r>
    </w:p>
    <w:p w14:paraId="4662DFBE" w14:textId="56266AEF" w:rsidR="00E90B43" w:rsidRDefault="00E90B43" w:rsidP="0026379A">
      <w:pPr>
        <w:rPr>
          <w:sz w:val="22"/>
        </w:rPr>
      </w:pPr>
      <w:r>
        <w:rPr>
          <w:sz w:val="22"/>
        </w:rPr>
        <w:t xml:space="preserve">  </w:t>
      </w:r>
    </w:p>
    <w:p w14:paraId="73540B74" w14:textId="77777777" w:rsidR="0086614A" w:rsidRPr="0090631D" w:rsidRDefault="0086614A" w:rsidP="0086614A">
      <w:pPr>
        <w:rPr>
          <w:sz w:val="22"/>
          <w:szCs w:val="22"/>
        </w:rPr>
      </w:pPr>
      <w:r w:rsidRPr="0090631D">
        <w:rPr>
          <w:sz w:val="22"/>
          <w:szCs w:val="22"/>
        </w:rPr>
        <w:t>As discussed earlier, there are some scenarios that the DL and UL beam quality are different in the same direction. For example:</w:t>
      </w:r>
    </w:p>
    <w:p w14:paraId="7A485B92"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Uplink power back off due to MPE</w:t>
      </w:r>
      <w:r>
        <w:rPr>
          <w:rFonts w:ascii="Times New Roman" w:hAnsi="Times New Roman"/>
        </w:rPr>
        <w:t xml:space="preserve"> and co-existence</w:t>
      </w:r>
    </w:p>
    <w:p w14:paraId="44EDE8C0" w14:textId="77777777" w:rsidR="0086614A" w:rsidRPr="0090631D" w:rsidRDefault="0086614A" w:rsidP="0086614A">
      <w:pPr>
        <w:pStyle w:val="ListParagraph"/>
        <w:numPr>
          <w:ilvl w:val="0"/>
          <w:numId w:val="20"/>
        </w:numPr>
        <w:rPr>
          <w:rFonts w:ascii="Times New Roman" w:hAnsi="Times New Roman"/>
        </w:rPr>
      </w:pPr>
      <w:r w:rsidRPr="0090631D">
        <w:rPr>
          <w:rFonts w:ascii="Times New Roman" w:hAnsi="Times New Roman"/>
        </w:rPr>
        <w:t>Different interference levels and receiver capabilities in DL and UL</w:t>
      </w:r>
    </w:p>
    <w:p w14:paraId="2FF1113B" w14:textId="2A9B3228" w:rsidR="0086614A" w:rsidRDefault="0086614A" w:rsidP="0086614A">
      <w:pPr>
        <w:rPr>
          <w:sz w:val="22"/>
        </w:rPr>
      </w:pPr>
      <w:r w:rsidRPr="0090631D">
        <w:rPr>
          <w:sz w:val="22"/>
          <w:szCs w:val="22"/>
        </w:rPr>
        <w:t xml:space="preserve">Therefore, we propose to enhance the existing DL beam report to reflect the DL/UL discrepancy. One example is to include L1-RSRP in addition to </w:t>
      </w:r>
      <w:r>
        <w:rPr>
          <w:sz w:val="22"/>
          <w:szCs w:val="22"/>
        </w:rPr>
        <w:t xml:space="preserve">the newly agreed </w:t>
      </w:r>
      <w:r w:rsidRPr="0090631D">
        <w:rPr>
          <w:sz w:val="22"/>
          <w:szCs w:val="22"/>
        </w:rPr>
        <w:t xml:space="preserve">L1-SINR </w:t>
      </w:r>
      <w:r>
        <w:rPr>
          <w:sz w:val="22"/>
          <w:szCs w:val="22"/>
        </w:rPr>
        <w:t>in the</w:t>
      </w:r>
      <w:r w:rsidRPr="0090631D">
        <w:rPr>
          <w:sz w:val="22"/>
          <w:szCs w:val="22"/>
        </w:rPr>
        <w:t xml:space="preserve"> beam report.</w:t>
      </w:r>
      <w:r w:rsidRPr="00276630">
        <w:rPr>
          <w:sz w:val="22"/>
          <w:szCs w:val="22"/>
        </w:rPr>
        <w:t xml:space="preserve"> </w:t>
      </w:r>
      <w:r>
        <w:rPr>
          <w:sz w:val="22"/>
          <w:szCs w:val="22"/>
        </w:rPr>
        <w:t>In addition, t</w:t>
      </w:r>
      <w:r w:rsidR="00235A8B">
        <w:rPr>
          <w:sz w:val="22"/>
        </w:rPr>
        <w:t xml:space="preserve">he ranking of the beam </w:t>
      </w:r>
      <w:r>
        <w:rPr>
          <w:sz w:val="22"/>
          <w:szCs w:val="22"/>
        </w:rPr>
        <w:t xml:space="preserve">can be based on SINR for DL beam and RSRP for UL beam selection. </w:t>
      </w:r>
      <w:r w:rsidR="00CA29A8">
        <w:rPr>
          <w:sz w:val="22"/>
          <w:szCs w:val="22"/>
        </w:rPr>
        <w:t>Details</w:t>
      </w:r>
      <w:r>
        <w:rPr>
          <w:sz w:val="22"/>
          <w:szCs w:val="22"/>
        </w:rPr>
        <w:t xml:space="preserve"> for report enhancement </w:t>
      </w:r>
      <w:r w:rsidR="00CA29A8">
        <w:rPr>
          <w:sz w:val="22"/>
          <w:szCs w:val="22"/>
        </w:rPr>
        <w:t>are</w:t>
      </w:r>
      <w:r>
        <w:rPr>
          <w:sz w:val="22"/>
          <w:szCs w:val="22"/>
        </w:rPr>
        <w:t xml:space="preserve"> </w:t>
      </w:r>
      <w:r w:rsidR="00CA29A8">
        <w:rPr>
          <w:sz w:val="22"/>
          <w:szCs w:val="22"/>
        </w:rPr>
        <w:t>FFS</w:t>
      </w:r>
      <w:r>
        <w:rPr>
          <w:sz w:val="22"/>
        </w:rPr>
        <w:t>.</w:t>
      </w:r>
    </w:p>
    <w:p w14:paraId="65121D83" w14:textId="77777777" w:rsidR="007F0449" w:rsidRDefault="007F0449" w:rsidP="0026379A">
      <w:pPr>
        <w:rPr>
          <w:sz w:val="22"/>
        </w:rPr>
      </w:pPr>
    </w:p>
    <w:p w14:paraId="0D1F2097" w14:textId="0EDA9DE5" w:rsidR="009667AE" w:rsidRDefault="00357974" w:rsidP="00357974">
      <w:pPr>
        <w:rPr>
          <w:rFonts w:eastAsia="SimSun"/>
          <w:b/>
          <w:i/>
          <w:sz w:val="22"/>
          <w:szCs w:val="22"/>
        </w:rPr>
      </w:pPr>
      <w:r>
        <w:rPr>
          <w:rFonts w:eastAsia="SimSun"/>
          <w:b/>
          <w:bCs/>
          <w:i/>
          <w:sz w:val="22"/>
          <w:szCs w:val="22"/>
          <w:u w:val="single"/>
        </w:rPr>
        <w:t xml:space="preserve">Proposal </w:t>
      </w:r>
      <w:r w:rsidR="00091999">
        <w:rPr>
          <w:rFonts w:eastAsia="SimSun"/>
          <w:b/>
          <w:bCs/>
          <w:i/>
          <w:sz w:val="22"/>
          <w:szCs w:val="22"/>
          <w:u w:val="single"/>
        </w:rPr>
        <w:t>4</w:t>
      </w:r>
      <w:r w:rsidRPr="00CD41CD">
        <w:rPr>
          <w:rFonts w:eastAsia="SimSun"/>
          <w:bCs/>
          <w:i/>
          <w:szCs w:val="22"/>
        </w:rPr>
        <w:t xml:space="preserve">: </w:t>
      </w:r>
      <w:r>
        <w:rPr>
          <w:rFonts w:eastAsia="SimSun"/>
          <w:b/>
          <w:i/>
          <w:sz w:val="22"/>
          <w:szCs w:val="22"/>
        </w:rPr>
        <w:t>Rel-16 NR</w:t>
      </w:r>
      <w:r w:rsidRPr="002C15EB">
        <w:t xml:space="preserve"> </w:t>
      </w:r>
      <w:r>
        <w:rPr>
          <w:rFonts w:eastAsia="SimSun"/>
          <w:b/>
          <w:i/>
          <w:sz w:val="22"/>
          <w:szCs w:val="22"/>
        </w:rPr>
        <w:t xml:space="preserve">considers </w:t>
      </w:r>
      <w:r w:rsidR="00F17955">
        <w:rPr>
          <w:rFonts w:eastAsia="SimSun"/>
          <w:b/>
          <w:i/>
          <w:sz w:val="22"/>
          <w:szCs w:val="22"/>
        </w:rPr>
        <w:t xml:space="preserve">enhancement of </w:t>
      </w:r>
      <w:r w:rsidR="00486446">
        <w:rPr>
          <w:rFonts w:eastAsia="SimSun"/>
          <w:b/>
          <w:i/>
          <w:sz w:val="22"/>
          <w:szCs w:val="22"/>
        </w:rPr>
        <w:t>the DL beam measurement report</w:t>
      </w:r>
      <w:r w:rsidR="00CA29A8">
        <w:rPr>
          <w:rFonts w:eastAsia="SimSun"/>
          <w:b/>
          <w:i/>
          <w:sz w:val="22"/>
          <w:szCs w:val="22"/>
        </w:rPr>
        <w:t xml:space="preserve"> to reflect DL/UL </w:t>
      </w:r>
      <w:r w:rsidR="000063E3">
        <w:rPr>
          <w:rFonts w:eastAsia="SimSun"/>
          <w:b/>
          <w:i/>
          <w:sz w:val="22"/>
          <w:szCs w:val="22"/>
        </w:rPr>
        <w:t>discrepancy</w:t>
      </w:r>
      <w:r w:rsidR="00486446">
        <w:rPr>
          <w:rFonts w:eastAsia="SimSun"/>
          <w:b/>
          <w:i/>
          <w:sz w:val="22"/>
          <w:szCs w:val="22"/>
        </w:rPr>
        <w:t>. Details on enhancement, such as separate ranking, PHR reporting, Tx power back reporting, etc.</w:t>
      </w:r>
      <w:r w:rsidR="007569A1">
        <w:rPr>
          <w:rFonts w:eastAsia="SimSun"/>
          <w:b/>
          <w:i/>
          <w:sz w:val="22"/>
          <w:szCs w:val="22"/>
        </w:rPr>
        <w:t>,</w:t>
      </w:r>
      <w:r w:rsidR="00F17955">
        <w:rPr>
          <w:rFonts w:eastAsia="SimSun"/>
          <w:b/>
          <w:i/>
          <w:sz w:val="22"/>
          <w:szCs w:val="22"/>
        </w:rPr>
        <w:t xml:space="preserve"> are FFS.</w:t>
      </w:r>
    </w:p>
    <w:p w14:paraId="39207753" w14:textId="77777777" w:rsidR="009667AE" w:rsidRPr="00365CF3" w:rsidRDefault="009667AE" w:rsidP="009667AE">
      <w:pPr>
        <w:pStyle w:val="Heading1"/>
      </w:pPr>
      <w:r>
        <w:t>UE Event Based Aperiodic Beam Measurement Reporting</w:t>
      </w:r>
    </w:p>
    <w:p w14:paraId="2D8E891D" w14:textId="77777777" w:rsidR="009667AE" w:rsidRPr="00563B30" w:rsidRDefault="009667AE" w:rsidP="009667AE">
      <w:pPr>
        <w:jc w:val="both"/>
        <w:rPr>
          <w:sz w:val="22"/>
          <w:szCs w:val="20"/>
        </w:rPr>
      </w:pPr>
      <w:r w:rsidRPr="00563B30">
        <w:rPr>
          <w:sz w:val="22"/>
          <w:szCs w:val="20"/>
        </w:rPr>
        <w:t>When periodic or semi-persistent reference signals (CSI-RS, or SSB) are configured, the simplest solution is for UE to make measurement report periodically. However, this approach has the following limitation,</w:t>
      </w:r>
    </w:p>
    <w:p w14:paraId="502EEED5" w14:textId="77777777" w:rsidR="009667AE" w:rsidRPr="00563B30" w:rsidRDefault="009667AE" w:rsidP="009667AE">
      <w:pPr>
        <w:jc w:val="both"/>
        <w:rPr>
          <w:sz w:val="22"/>
          <w:szCs w:val="20"/>
        </w:rPr>
      </w:pPr>
    </w:p>
    <w:p w14:paraId="338D3E4B" w14:textId="77777777" w:rsidR="009667AE" w:rsidRPr="00563B30" w:rsidRDefault="009667AE" w:rsidP="009667AE">
      <w:pPr>
        <w:pStyle w:val="ListParagraph"/>
        <w:numPr>
          <w:ilvl w:val="0"/>
          <w:numId w:val="29"/>
        </w:numPr>
        <w:jc w:val="both"/>
        <w:rPr>
          <w:rFonts w:ascii="Times New Roman" w:eastAsia="Malgun Gothic" w:hAnsi="Times New Roman"/>
          <w:szCs w:val="20"/>
          <w:lang w:eastAsia="zh-CN"/>
        </w:rPr>
      </w:pPr>
      <w:r w:rsidRPr="00563B30">
        <w:rPr>
          <w:rFonts w:ascii="Times New Roman" w:eastAsia="Malgun Gothic" w:hAnsi="Times New Roman"/>
          <w:szCs w:val="20"/>
          <w:lang w:eastAsia="zh-CN"/>
        </w:rPr>
        <w:t>It is hard for the gNB to optimally configure the periodicity of reference signals and report as gNB has less knowledge about the actual mobility situation compared to UE.</w:t>
      </w:r>
    </w:p>
    <w:p w14:paraId="4C9B7FB6" w14:textId="77777777" w:rsidR="009667AE" w:rsidRPr="00563B30" w:rsidRDefault="009667AE" w:rsidP="009667AE">
      <w:pPr>
        <w:pStyle w:val="ListParagraph"/>
        <w:numPr>
          <w:ilvl w:val="0"/>
          <w:numId w:val="29"/>
        </w:numPr>
        <w:jc w:val="both"/>
        <w:rPr>
          <w:rFonts w:ascii="Times New Roman" w:eastAsia="Malgun Gothic" w:hAnsi="Times New Roman"/>
          <w:szCs w:val="20"/>
          <w:lang w:eastAsia="zh-CN"/>
        </w:rPr>
      </w:pPr>
      <w:r w:rsidRPr="00563B30">
        <w:rPr>
          <w:rFonts w:ascii="Times New Roman" w:eastAsia="Malgun Gothic" w:hAnsi="Times New Roman"/>
          <w:szCs w:val="20"/>
          <w:lang w:eastAsia="zh-CN"/>
        </w:rPr>
        <w:t>To ensure robust beam management, frequent reference signals and reports are needed which can cause unnecessary overhead.</w:t>
      </w:r>
    </w:p>
    <w:p w14:paraId="047F595D" w14:textId="77777777" w:rsidR="009667AE" w:rsidRPr="00563B30" w:rsidRDefault="009667AE" w:rsidP="009667AE">
      <w:pPr>
        <w:pStyle w:val="ListParagraph"/>
        <w:numPr>
          <w:ilvl w:val="0"/>
          <w:numId w:val="29"/>
        </w:numPr>
        <w:jc w:val="both"/>
        <w:rPr>
          <w:rFonts w:ascii="Times New Roman" w:eastAsia="Malgun Gothic" w:hAnsi="Times New Roman"/>
          <w:szCs w:val="20"/>
          <w:lang w:eastAsia="zh-CN"/>
        </w:rPr>
      </w:pPr>
      <w:r w:rsidRPr="00563B30">
        <w:rPr>
          <w:rFonts w:ascii="Times New Roman" w:eastAsia="Malgun Gothic" w:hAnsi="Times New Roman"/>
          <w:szCs w:val="20"/>
          <w:lang w:eastAsia="zh-CN"/>
        </w:rPr>
        <w:t>Frequent periodic measurement reporting can also negatively impact the UE power consumption</w:t>
      </w:r>
    </w:p>
    <w:p w14:paraId="2493FC02" w14:textId="77777777" w:rsidR="009667AE" w:rsidRPr="00563B30" w:rsidRDefault="009667AE" w:rsidP="009667AE">
      <w:pPr>
        <w:jc w:val="both"/>
        <w:rPr>
          <w:sz w:val="22"/>
          <w:szCs w:val="20"/>
        </w:rPr>
      </w:pPr>
    </w:p>
    <w:p w14:paraId="5C37AD8B" w14:textId="77777777" w:rsidR="009667AE" w:rsidRPr="00563B30" w:rsidRDefault="009667AE" w:rsidP="009667AE">
      <w:pPr>
        <w:jc w:val="both"/>
        <w:rPr>
          <w:sz w:val="22"/>
          <w:szCs w:val="20"/>
        </w:rPr>
      </w:pPr>
      <w:r w:rsidRPr="00563B30">
        <w:rPr>
          <w:sz w:val="22"/>
          <w:szCs w:val="20"/>
        </w:rPr>
        <w:t xml:space="preserve">On the other side, event based measurement report mechanism has been proved to effectively maintain good mobility service for LTE/UMTS etc. and thus deserved to be visited for beam mobility maintenance. While previous RATs, such as UMTS and LTE, focuses on the cell level mobility management, beam management can be viewed as the beam level mobility where similar concept can be applied in order to reduce the overhead while ensure robust mobility performance.   </w:t>
      </w:r>
    </w:p>
    <w:p w14:paraId="5F099F03" w14:textId="77777777" w:rsidR="009667AE" w:rsidRPr="00563B30" w:rsidRDefault="009667AE" w:rsidP="009667AE">
      <w:pPr>
        <w:jc w:val="both"/>
        <w:rPr>
          <w:sz w:val="22"/>
          <w:szCs w:val="20"/>
        </w:rPr>
      </w:pPr>
    </w:p>
    <w:p w14:paraId="0F26170D" w14:textId="77777777" w:rsidR="009667AE" w:rsidRPr="00563B30" w:rsidRDefault="009667AE" w:rsidP="009667AE">
      <w:pPr>
        <w:jc w:val="both"/>
        <w:rPr>
          <w:sz w:val="22"/>
          <w:szCs w:val="20"/>
        </w:rPr>
      </w:pPr>
      <w:r w:rsidRPr="00563B30">
        <w:rPr>
          <w:i/>
          <w:sz w:val="22"/>
          <w:szCs w:val="20"/>
          <w:u w:val="single"/>
        </w:rPr>
        <w:t>For event based aperiodic beam measurement reporting, UE only triggers mobility event report when certain predefined condition is met.</w:t>
      </w:r>
      <w:r w:rsidRPr="00563B30">
        <w:rPr>
          <w:sz w:val="22"/>
          <w:szCs w:val="20"/>
        </w:rPr>
        <w:t xml:space="preserve"> Below are a few examples of the mobility even used in LTE and UMTS</w:t>
      </w:r>
    </w:p>
    <w:p w14:paraId="434F02D9" w14:textId="77777777" w:rsidR="009667AE" w:rsidRPr="00563B30" w:rsidRDefault="009667AE" w:rsidP="009667AE">
      <w:pPr>
        <w:jc w:val="both"/>
        <w:rPr>
          <w:sz w:val="22"/>
          <w:szCs w:val="20"/>
        </w:rPr>
      </w:pPr>
    </w:p>
    <w:p w14:paraId="492D105B" w14:textId="77777777" w:rsidR="009667AE" w:rsidRPr="00563B30" w:rsidRDefault="009667AE" w:rsidP="009667AE">
      <w:pPr>
        <w:jc w:val="both"/>
        <w:rPr>
          <w:sz w:val="22"/>
          <w:szCs w:val="20"/>
        </w:rPr>
      </w:pPr>
      <w:r w:rsidRPr="00563B30">
        <w:rPr>
          <w:sz w:val="22"/>
          <w:szCs w:val="20"/>
        </w:rPr>
        <w:t>LTE</w:t>
      </w:r>
    </w:p>
    <w:p w14:paraId="60D93E82" w14:textId="77777777" w:rsidR="009667AE" w:rsidRPr="00563B30" w:rsidRDefault="009667AE" w:rsidP="009667AE">
      <w:pPr>
        <w:pStyle w:val="ListParagraph"/>
        <w:numPr>
          <w:ilvl w:val="0"/>
          <w:numId w:val="30"/>
        </w:numPr>
        <w:jc w:val="both"/>
        <w:rPr>
          <w:rFonts w:ascii="Times New Roman" w:hAnsi="Times New Roman"/>
          <w:szCs w:val="20"/>
        </w:rPr>
      </w:pPr>
      <w:r w:rsidRPr="00563B30">
        <w:rPr>
          <w:rFonts w:ascii="Times New Roman" w:hAnsi="Times New Roman"/>
          <w:szCs w:val="20"/>
        </w:rPr>
        <w:t>Event A1: Serving cell becomes better than threshold</w:t>
      </w:r>
    </w:p>
    <w:p w14:paraId="093FFE10" w14:textId="77777777" w:rsidR="009667AE" w:rsidRPr="00563B30" w:rsidRDefault="009667AE" w:rsidP="009667AE">
      <w:pPr>
        <w:pStyle w:val="ListParagraph"/>
        <w:numPr>
          <w:ilvl w:val="0"/>
          <w:numId w:val="30"/>
        </w:numPr>
        <w:jc w:val="both"/>
        <w:rPr>
          <w:rFonts w:ascii="Times New Roman" w:hAnsi="Times New Roman"/>
          <w:szCs w:val="20"/>
        </w:rPr>
      </w:pPr>
      <w:r w:rsidRPr="00563B30">
        <w:rPr>
          <w:rFonts w:ascii="Times New Roman" w:hAnsi="Times New Roman"/>
          <w:szCs w:val="20"/>
        </w:rPr>
        <w:t>Event A2: Serving cell becomes worse than threshold</w:t>
      </w:r>
    </w:p>
    <w:p w14:paraId="77025073" w14:textId="77777777" w:rsidR="009667AE" w:rsidRPr="00563B30" w:rsidRDefault="009667AE" w:rsidP="009667AE">
      <w:pPr>
        <w:pStyle w:val="ListParagraph"/>
        <w:numPr>
          <w:ilvl w:val="0"/>
          <w:numId w:val="30"/>
        </w:numPr>
        <w:jc w:val="both"/>
        <w:rPr>
          <w:rFonts w:ascii="Times New Roman" w:hAnsi="Times New Roman"/>
          <w:szCs w:val="20"/>
        </w:rPr>
      </w:pPr>
      <w:r w:rsidRPr="00563B30">
        <w:rPr>
          <w:rFonts w:ascii="Times New Roman" w:hAnsi="Times New Roman"/>
          <w:szCs w:val="20"/>
        </w:rPr>
        <w:t>Event A3: Neighbor cell becomes offset better than PCell</w:t>
      </w:r>
    </w:p>
    <w:p w14:paraId="2ED5452A" w14:textId="77777777" w:rsidR="009667AE" w:rsidRPr="00563B30" w:rsidRDefault="009667AE" w:rsidP="009667AE">
      <w:pPr>
        <w:pStyle w:val="ListParagraph"/>
        <w:numPr>
          <w:ilvl w:val="0"/>
          <w:numId w:val="30"/>
        </w:numPr>
        <w:jc w:val="both"/>
        <w:rPr>
          <w:rFonts w:ascii="Times New Roman" w:hAnsi="Times New Roman"/>
          <w:szCs w:val="20"/>
        </w:rPr>
      </w:pPr>
      <w:r w:rsidRPr="00563B30">
        <w:rPr>
          <w:rFonts w:ascii="Times New Roman" w:hAnsi="Times New Roman"/>
          <w:szCs w:val="20"/>
        </w:rPr>
        <w:t>Event A4: Neighbor cell becomes better than threshold</w:t>
      </w:r>
    </w:p>
    <w:p w14:paraId="46CB19A0" w14:textId="77777777" w:rsidR="009667AE" w:rsidRPr="00563B30" w:rsidRDefault="009667AE" w:rsidP="009667AE">
      <w:pPr>
        <w:jc w:val="both"/>
        <w:rPr>
          <w:sz w:val="22"/>
          <w:szCs w:val="20"/>
        </w:rPr>
      </w:pPr>
      <w:r w:rsidRPr="00563B30">
        <w:rPr>
          <w:sz w:val="22"/>
          <w:szCs w:val="20"/>
        </w:rPr>
        <w:t>UMTS</w:t>
      </w:r>
    </w:p>
    <w:p w14:paraId="78A2DFE5" w14:textId="77777777" w:rsidR="009667AE" w:rsidRPr="00563B30" w:rsidRDefault="009667AE" w:rsidP="009667AE">
      <w:pPr>
        <w:pStyle w:val="ListParagraph"/>
        <w:numPr>
          <w:ilvl w:val="0"/>
          <w:numId w:val="31"/>
        </w:numPr>
        <w:rPr>
          <w:rFonts w:ascii="Times New Roman" w:hAnsi="Times New Roman"/>
          <w:szCs w:val="20"/>
        </w:rPr>
      </w:pPr>
      <w:r w:rsidRPr="00563B30">
        <w:rPr>
          <w:rFonts w:ascii="Times New Roman" w:hAnsi="Times New Roman"/>
          <w:szCs w:val="20"/>
        </w:rPr>
        <w:t>Event 1a: a cell enters the reporting range, i.e. add a cell to active set.</w:t>
      </w:r>
    </w:p>
    <w:p w14:paraId="1B744D0E" w14:textId="77777777" w:rsidR="009667AE" w:rsidRPr="00563B30" w:rsidRDefault="009667AE" w:rsidP="009667AE">
      <w:pPr>
        <w:pStyle w:val="ListParagraph"/>
        <w:numPr>
          <w:ilvl w:val="0"/>
          <w:numId w:val="31"/>
        </w:numPr>
        <w:rPr>
          <w:rFonts w:ascii="Times New Roman" w:hAnsi="Times New Roman"/>
          <w:szCs w:val="20"/>
        </w:rPr>
      </w:pPr>
      <w:r w:rsidRPr="00563B30">
        <w:rPr>
          <w:rFonts w:ascii="Times New Roman" w:hAnsi="Times New Roman"/>
          <w:szCs w:val="20"/>
        </w:rPr>
        <w:t>Event 1b: a cell leaves the reporting range, i.e. removed a cell from active set.</w:t>
      </w:r>
    </w:p>
    <w:p w14:paraId="57BCC51C" w14:textId="77777777" w:rsidR="009667AE" w:rsidRPr="00563B30" w:rsidRDefault="009667AE" w:rsidP="009667AE">
      <w:pPr>
        <w:pStyle w:val="ListParagraph"/>
        <w:numPr>
          <w:ilvl w:val="0"/>
          <w:numId w:val="31"/>
        </w:numPr>
        <w:rPr>
          <w:szCs w:val="20"/>
        </w:rPr>
      </w:pPr>
      <w:r w:rsidRPr="00563B30">
        <w:rPr>
          <w:rFonts w:ascii="Times New Roman" w:hAnsi="Times New Roman"/>
          <w:szCs w:val="20"/>
        </w:rPr>
        <w:t>Event 1d: Neighbor cell becomes offset better than PCell.</w:t>
      </w:r>
    </w:p>
    <w:p w14:paraId="7FE2B7C2" w14:textId="77777777" w:rsidR="009667AE" w:rsidRPr="00563B30" w:rsidRDefault="009667AE" w:rsidP="009667AE">
      <w:pPr>
        <w:jc w:val="both"/>
        <w:rPr>
          <w:rFonts w:eastAsia="SimSun"/>
          <w:b/>
          <w:bCs/>
          <w:i/>
          <w:sz w:val="22"/>
          <w:szCs w:val="20"/>
          <w:u w:val="single"/>
        </w:rPr>
      </w:pPr>
    </w:p>
    <w:p w14:paraId="37B07F98" w14:textId="77777777" w:rsidR="009667AE" w:rsidRDefault="009667AE" w:rsidP="009667AE">
      <w:pPr>
        <w:jc w:val="both"/>
        <w:rPr>
          <w:rFonts w:eastAsia="SimSun"/>
          <w:b/>
          <w:bCs/>
          <w:i/>
          <w:sz w:val="20"/>
          <w:szCs w:val="20"/>
          <w:u w:val="single"/>
        </w:rPr>
      </w:pPr>
    </w:p>
    <w:p w14:paraId="091BB646" w14:textId="77777777" w:rsidR="009667AE" w:rsidRDefault="009667AE" w:rsidP="009667AE">
      <w:pPr>
        <w:keepNext/>
        <w:jc w:val="both"/>
      </w:pPr>
      <w:r w:rsidRPr="002F5C0D">
        <w:rPr>
          <w:rFonts w:eastAsia="SimSun"/>
          <w:b/>
          <w:bCs/>
          <w:i/>
          <w:noProof/>
          <w:sz w:val="20"/>
          <w:szCs w:val="20"/>
          <w:u w:val="single"/>
        </w:rPr>
        <w:drawing>
          <wp:inline distT="0" distB="0" distL="0" distR="0" wp14:anchorId="77B6414A" wp14:editId="25F399CA">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72C5CEC" w14:textId="77777777" w:rsidR="009667AE" w:rsidRPr="00D31995" w:rsidRDefault="009667AE" w:rsidP="009667AE">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Pr>
          <w:noProof/>
          <w:sz w:val="20"/>
          <w:szCs w:val="20"/>
        </w:rPr>
        <w:t>1</w:t>
      </w:r>
      <w:r w:rsidRPr="00D31995">
        <w:rPr>
          <w:sz w:val="20"/>
          <w:szCs w:val="20"/>
        </w:rPr>
        <w:fldChar w:fldCharType="end"/>
      </w:r>
      <w:bookmarkEnd w:id="1"/>
      <w:r>
        <w:rPr>
          <w:sz w:val="20"/>
          <w:szCs w:val="20"/>
        </w:rPr>
        <w:t xml:space="preserve">: </w:t>
      </w:r>
      <w:r w:rsidRPr="00D31995">
        <w:rPr>
          <w:sz w:val="20"/>
          <w:szCs w:val="20"/>
        </w:rPr>
        <w:t>UE Event Based Aperiodic Beam Measurement Reporting</w:t>
      </w:r>
    </w:p>
    <w:p w14:paraId="4BF573C5" w14:textId="77777777" w:rsidR="009667AE" w:rsidRDefault="009667AE" w:rsidP="009667AE">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illustrates the event based measurement reporting compared to periodic report. Assum</w:t>
      </w:r>
      <w:r>
        <w:rPr>
          <w:rFonts w:eastAsia="SimSun"/>
          <w:bCs/>
          <w:sz w:val="20"/>
          <w:szCs w:val="20"/>
        </w:rPr>
        <w:t>ing</w:t>
      </w:r>
      <w:r w:rsidRPr="002B5FE5">
        <w:rPr>
          <w:rFonts w:eastAsia="SimSun"/>
          <w:bCs/>
          <w:sz w:val="20"/>
          <w:szCs w:val="20"/>
        </w:rPr>
        <w:t xml:space="preserve"> NW configures periodic </w:t>
      </w:r>
      <w:r>
        <w:rPr>
          <w:rFonts w:eastAsia="SimSun"/>
          <w:bCs/>
          <w:sz w:val="20"/>
          <w:szCs w:val="20"/>
        </w:rPr>
        <w:t>measurement resources (SSB or CSI-RS). The baseline operation is for UE to make the periodic measurement report in order to track the beam change. Note that, due to the un-predictableness of the bea</w:t>
      </w:r>
      <w:r w:rsidRPr="00755904">
        <w:rPr>
          <w:rFonts w:eastAsia="SimSun"/>
          <w:bCs/>
          <w:sz w:val="20"/>
          <w:szCs w:val="20"/>
        </w:rPr>
        <w:t xml:space="preserve">m change, a frequent beam reporting is needed in order to ensure the robustness of the beam management as shown </w:t>
      </w:r>
      <w:r>
        <w:rPr>
          <w:rFonts w:eastAsia="SimSun"/>
          <w:bCs/>
          <w:sz w:val="20"/>
          <w:szCs w:val="20"/>
        </w:rPr>
        <w:t xml:space="preserve">by red arrows </w:t>
      </w:r>
      <w:r w:rsidRPr="00755904">
        <w:rPr>
          <w:rFonts w:eastAsia="SimSun"/>
          <w:bCs/>
          <w:sz w:val="20"/>
          <w:szCs w:val="20"/>
        </w:rPr>
        <w:t xml:space="preserve">in </w:t>
      </w:r>
      <w:r w:rsidRPr="00755904">
        <w:rPr>
          <w:rFonts w:eastAsia="SimSun"/>
          <w:bCs/>
          <w:sz w:val="20"/>
          <w:szCs w:val="20"/>
        </w:rPr>
        <w:fldChar w:fldCharType="begin"/>
      </w:r>
      <w:r w:rsidRPr="00755904">
        <w:rPr>
          <w:rFonts w:eastAsia="SimSun"/>
          <w:bCs/>
          <w:sz w:val="20"/>
          <w:szCs w:val="20"/>
        </w:rPr>
        <w:instrText xml:space="preserve"> REF _Ref498330851 \h  \* MERGEFORMAT </w:instrText>
      </w:r>
      <w:r w:rsidRPr="00755904">
        <w:rPr>
          <w:rFonts w:eastAsia="SimSun"/>
          <w:bCs/>
          <w:sz w:val="20"/>
          <w:szCs w:val="20"/>
        </w:rPr>
      </w:r>
      <w:r w:rsidRPr="00755904">
        <w:rPr>
          <w:rFonts w:eastAsia="SimSun"/>
          <w:bCs/>
          <w:sz w:val="20"/>
          <w:szCs w:val="20"/>
        </w:rPr>
        <w:fldChar w:fldCharType="separate"/>
      </w:r>
      <w:r w:rsidRPr="00755904">
        <w:rPr>
          <w:sz w:val="20"/>
          <w:szCs w:val="20"/>
        </w:rPr>
        <w:t xml:space="preserve">Figure </w:t>
      </w:r>
      <w:r w:rsidRPr="00755904">
        <w:rPr>
          <w:noProof/>
          <w:sz w:val="20"/>
          <w:szCs w:val="20"/>
        </w:rPr>
        <w:t>1</w:t>
      </w:r>
      <w:r w:rsidRPr="00755904">
        <w:rPr>
          <w:rFonts w:eastAsia="SimSun"/>
          <w:bCs/>
          <w:sz w:val="20"/>
          <w:szCs w:val="20"/>
        </w:rPr>
        <w:fldChar w:fldCharType="end"/>
      </w:r>
      <w:r w:rsidRPr="00755904">
        <w:rPr>
          <w:rFonts w:eastAsia="SimSun"/>
          <w:bCs/>
          <w:sz w:val="20"/>
          <w:szCs w:val="20"/>
        </w:rPr>
        <w:t>. Assum</w:t>
      </w:r>
      <w:r>
        <w:rPr>
          <w:rFonts w:eastAsia="SimSun"/>
          <w:bCs/>
          <w:sz w:val="20"/>
          <w:szCs w:val="20"/>
        </w:rPr>
        <w:t xml:space="preserve">ing UE desirable receive beam changes due to, e.g., device rotation, UE can detect the change via periodic measurement. Only when the beam change is detected, or certain event is detected, UE is required to report the </w:t>
      </w:r>
      <w:r>
        <w:rPr>
          <w:rFonts w:eastAsia="SimSun"/>
          <w:bCs/>
          <w:sz w:val="20"/>
          <w:szCs w:val="20"/>
        </w:rPr>
        <w:lastRenderedPageBreak/>
        <w:t>measurement as shown by green arrows. Clearly, event based measurement can reduce the reporting overhead while maintaining the same robustness of the beam management. Therefore, we propose the following</w:t>
      </w:r>
    </w:p>
    <w:p w14:paraId="22672296" w14:textId="77777777" w:rsidR="009667AE" w:rsidRPr="00895722" w:rsidRDefault="009667AE" w:rsidP="009667AE">
      <w:pPr>
        <w:jc w:val="both"/>
        <w:rPr>
          <w:rFonts w:eastAsia="SimSun"/>
          <w:bCs/>
          <w:sz w:val="20"/>
          <w:szCs w:val="20"/>
        </w:rPr>
      </w:pPr>
    </w:p>
    <w:p w14:paraId="5C941CC4" w14:textId="650A89CB" w:rsidR="009667AE" w:rsidRPr="007B50D2" w:rsidRDefault="009667AE" w:rsidP="007B50D2">
      <w:pPr>
        <w:jc w:val="both"/>
        <w:rPr>
          <w:b/>
          <w:i/>
          <w:sz w:val="20"/>
          <w:szCs w:val="20"/>
        </w:rPr>
      </w:pPr>
      <w:r w:rsidRPr="00E86F15">
        <w:rPr>
          <w:rFonts w:eastAsia="SimSun"/>
          <w:b/>
          <w:bCs/>
          <w:i/>
          <w:sz w:val="20"/>
          <w:szCs w:val="20"/>
          <w:u w:val="single"/>
        </w:rPr>
        <w:t xml:space="preserve">Proposal </w:t>
      </w:r>
      <w:r w:rsidR="0042631C">
        <w:rPr>
          <w:rFonts w:eastAsia="SimSun"/>
          <w:b/>
          <w:bCs/>
          <w:i/>
          <w:sz w:val="20"/>
          <w:szCs w:val="20"/>
          <w:u w:val="single"/>
        </w:rPr>
        <w:t>5</w:t>
      </w:r>
      <w:r w:rsidRPr="00E86F15">
        <w:rPr>
          <w:rFonts w:eastAsia="SimSun"/>
          <w:bCs/>
          <w:i/>
          <w:sz w:val="20"/>
          <w:szCs w:val="20"/>
        </w:rPr>
        <w:t xml:space="preserve">: </w:t>
      </w:r>
      <w:r w:rsidRPr="00E86F15">
        <w:rPr>
          <w:b/>
          <w:i/>
          <w:sz w:val="20"/>
          <w:szCs w:val="20"/>
        </w:rPr>
        <w:t>NR to support UE event based aperiodic beam measurement reporting.</w:t>
      </w:r>
      <w:r w:rsidR="00BE4430">
        <w:rPr>
          <w:b/>
          <w:i/>
          <w:sz w:val="20"/>
          <w:szCs w:val="20"/>
        </w:rPr>
        <w:t xml:space="preserve"> </w:t>
      </w:r>
      <w:r>
        <w:rPr>
          <w:b/>
          <w:i/>
          <w:sz w:val="20"/>
          <w:szCs w:val="20"/>
        </w:rPr>
        <w:t>FFS: the detailed events and configurations</w:t>
      </w:r>
    </w:p>
    <w:p w14:paraId="2898EE88" w14:textId="77777777" w:rsidR="007B50D2" w:rsidRDefault="007B50D2" w:rsidP="00916E29">
      <w:pPr>
        <w:pStyle w:val="Heading1"/>
      </w:pPr>
      <w:r>
        <w:t>SCell BFR</w:t>
      </w:r>
    </w:p>
    <w:p w14:paraId="2FF2E1B6" w14:textId="4AAB2595" w:rsidR="00201632" w:rsidRPr="00563B30" w:rsidRDefault="007B50D2" w:rsidP="00357974">
      <w:pPr>
        <w:rPr>
          <w:rFonts w:eastAsia="SimSun"/>
          <w:bCs/>
          <w:sz w:val="22"/>
          <w:szCs w:val="20"/>
        </w:rPr>
      </w:pPr>
      <w:r w:rsidRPr="00563B30">
        <w:rPr>
          <w:rFonts w:eastAsia="SimSun"/>
          <w:bCs/>
          <w:sz w:val="22"/>
          <w:szCs w:val="20"/>
        </w:rPr>
        <w:t xml:space="preserve">The following agreement was reached in the latest RAN1 #96bis meeting regarding </w:t>
      </w:r>
      <w:r w:rsidR="00201632" w:rsidRPr="00563B30">
        <w:rPr>
          <w:rFonts w:eastAsia="SimSun"/>
          <w:bCs/>
          <w:sz w:val="22"/>
          <w:szCs w:val="20"/>
        </w:rPr>
        <w:t>SCell beam failure recovery procedure</w:t>
      </w:r>
      <w:r w:rsidR="00280FFC">
        <w:rPr>
          <w:rFonts w:eastAsia="SimSun"/>
          <w:bCs/>
          <w:sz w:val="22"/>
          <w:szCs w:val="20"/>
        </w:rPr>
        <w:t xml:space="preserve"> [4]</w:t>
      </w:r>
      <w:r w:rsidR="00201632" w:rsidRPr="00563B30">
        <w:rPr>
          <w:rFonts w:eastAsia="SimSun"/>
          <w:bCs/>
          <w:sz w:val="22"/>
          <w:szCs w:val="20"/>
        </w:rPr>
        <w:t>.</w:t>
      </w:r>
    </w:p>
    <w:p w14:paraId="08596A98" w14:textId="695B09E1" w:rsidR="00201632" w:rsidRPr="00563B30" w:rsidRDefault="00201632" w:rsidP="00357974">
      <w:pPr>
        <w:rPr>
          <w:rFonts w:eastAsia="SimSun"/>
          <w:bCs/>
          <w:sz w:val="22"/>
          <w:szCs w:val="20"/>
        </w:rPr>
      </w:pPr>
    </w:p>
    <w:tbl>
      <w:tblPr>
        <w:tblStyle w:val="TableGrid"/>
        <w:tblW w:w="0" w:type="auto"/>
        <w:tblLook w:val="04A0" w:firstRow="1" w:lastRow="0" w:firstColumn="1" w:lastColumn="0" w:noHBand="0" w:noVBand="1"/>
      </w:tblPr>
      <w:tblGrid>
        <w:gridCol w:w="9629"/>
      </w:tblGrid>
      <w:tr w:rsidR="00201632" w:rsidRPr="00563B30" w14:paraId="0E55FF80" w14:textId="77777777" w:rsidTr="00201632">
        <w:tc>
          <w:tcPr>
            <w:tcW w:w="9629" w:type="dxa"/>
          </w:tcPr>
          <w:p w14:paraId="14377C96" w14:textId="77777777" w:rsidR="00201632" w:rsidRPr="00563B30" w:rsidRDefault="00201632" w:rsidP="00201632">
            <w:pPr>
              <w:rPr>
                <w:b/>
                <w:sz w:val="22"/>
                <w:highlight w:val="green"/>
                <w:lang w:eastAsia="x-none"/>
              </w:rPr>
            </w:pPr>
            <w:r w:rsidRPr="00563B30">
              <w:rPr>
                <w:b/>
                <w:sz w:val="22"/>
                <w:highlight w:val="green"/>
                <w:lang w:eastAsia="x-none"/>
              </w:rPr>
              <w:t>Agreement</w:t>
            </w:r>
          </w:p>
          <w:p w14:paraId="2FB34AFA" w14:textId="77777777" w:rsidR="00201632" w:rsidRPr="00563B30" w:rsidRDefault="00201632" w:rsidP="00201632">
            <w:pPr>
              <w:rPr>
                <w:sz w:val="22"/>
                <w:lang w:eastAsia="x-none"/>
              </w:rPr>
            </w:pPr>
            <w:r w:rsidRPr="00563B30">
              <w:rPr>
                <w:sz w:val="22"/>
                <w:lang w:eastAsia="x-none"/>
              </w:rPr>
              <w:t>RAN1 to determine one of the following for L1-SINR in RAN1#97:</w:t>
            </w:r>
          </w:p>
          <w:p w14:paraId="0C503369" w14:textId="77777777" w:rsidR="00201632" w:rsidRPr="00563B30" w:rsidRDefault="00201632" w:rsidP="00201632">
            <w:pPr>
              <w:numPr>
                <w:ilvl w:val="0"/>
                <w:numId w:val="12"/>
              </w:numPr>
              <w:ind w:left="720" w:hanging="320"/>
              <w:rPr>
                <w:sz w:val="22"/>
                <w:lang w:eastAsia="x-none"/>
              </w:rPr>
            </w:pPr>
            <w:r w:rsidRPr="00563B30">
              <w:rPr>
                <w:sz w:val="22"/>
                <w:lang w:eastAsia="x-none"/>
              </w:rPr>
              <w:t>L1-SINR based on ZP+NZP IMR</w:t>
            </w:r>
          </w:p>
          <w:p w14:paraId="7BD10DC5" w14:textId="77777777" w:rsidR="00201632" w:rsidRPr="00563B30" w:rsidRDefault="00201632" w:rsidP="00201632">
            <w:pPr>
              <w:numPr>
                <w:ilvl w:val="0"/>
                <w:numId w:val="12"/>
              </w:numPr>
              <w:ind w:left="720" w:hanging="320"/>
              <w:rPr>
                <w:sz w:val="22"/>
                <w:lang w:eastAsia="x-none"/>
              </w:rPr>
            </w:pPr>
            <w:r w:rsidRPr="00563B30">
              <w:rPr>
                <w:sz w:val="22"/>
                <w:lang w:eastAsia="x-none"/>
              </w:rPr>
              <w:t>L1-SINR based on ZP IMR only</w:t>
            </w:r>
          </w:p>
          <w:p w14:paraId="1E0A3B79" w14:textId="77777777" w:rsidR="00201632" w:rsidRPr="00563B30" w:rsidRDefault="00201632" w:rsidP="00201632">
            <w:pPr>
              <w:numPr>
                <w:ilvl w:val="0"/>
                <w:numId w:val="12"/>
              </w:numPr>
              <w:ind w:left="720" w:hanging="320"/>
              <w:rPr>
                <w:sz w:val="22"/>
                <w:lang w:eastAsia="x-none"/>
              </w:rPr>
            </w:pPr>
            <w:r w:rsidRPr="00563B30">
              <w:rPr>
                <w:sz w:val="22"/>
                <w:lang w:eastAsia="x-none"/>
              </w:rPr>
              <w:t>L1-SINR based on NZP IMR only</w:t>
            </w:r>
          </w:p>
          <w:p w14:paraId="09986302" w14:textId="77777777" w:rsidR="00201632" w:rsidRPr="00563B30" w:rsidRDefault="00201632" w:rsidP="00201632">
            <w:pPr>
              <w:rPr>
                <w:sz w:val="22"/>
                <w:lang w:eastAsia="x-none"/>
              </w:rPr>
            </w:pPr>
            <w:r w:rsidRPr="00563B30">
              <w:rPr>
                <w:sz w:val="22"/>
                <w:lang w:eastAsia="x-none"/>
              </w:rPr>
              <w:t>If there is no agreement on this issue in RAN1#97, L1-SINR will not be supported in Rel-16.</w:t>
            </w:r>
          </w:p>
          <w:p w14:paraId="21AD3EFC" w14:textId="77777777" w:rsidR="00201632" w:rsidRPr="00563B30" w:rsidRDefault="00201632" w:rsidP="00357974">
            <w:pPr>
              <w:rPr>
                <w:rFonts w:eastAsia="SimSun"/>
                <w:bCs/>
                <w:sz w:val="22"/>
                <w:szCs w:val="20"/>
              </w:rPr>
            </w:pPr>
          </w:p>
        </w:tc>
      </w:tr>
    </w:tbl>
    <w:p w14:paraId="3FB05163" w14:textId="77777777" w:rsidR="00201632" w:rsidRPr="00563B30" w:rsidRDefault="00201632" w:rsidP="00357974">
      <w:pPr>
        <w:rPr>
          <w:rFonts w:eastAsia="SimSun"/>
          <w:bCs/>
          <w:sz w:val="22"/>
          <w:szCs w:val="20"/>
        </w:rPr>
      </w:pPr>
    </w:p>
    <w:p w14:paraId="33C8652B" w14:textId="09AD0CEF" w:rsidR="004F2A6C" w:rsidRDefault="004F2A6C" w:rsidP="00357974">
      <w:pPr>
        <w:rPr>
          <w:rFonts w:eastAsia="SimSun"/>
          <w:bCs/>
          <w:sz w:val="22"/>
          <w:szCs w:val="20"/>
        </w:rPr>
      </w:pPr>
      <w:r>
        <w:rPr>
          <w:rFonts w:eastAsia="SimSun"/>
          <w:bCs/>
          <w:sz w:val="22"/>
          <w:szCs w:val="20"/>
        </w:rPr>
        <w:t xml:space="preserve">Compared to ZP-IMR, NZP-IMR may reduce NW resource overhead, but it is more complicated for UE to support and may also </w:t>
      </w:r>
      <w:r w:rsidR="00346DD7">
        <w:rPr>
          <w:rFonts w:eastAsia="SimSun"/>
          <w:bCs/>
          <w:sz w:val="22"/>
          <w:szCs w:val="20"/>
        </w:rPr>
        <w:t>suffer</w:t>
      </w:r>
      <w:r>
        <w:rPr>
          <w:rFonts w:eastAsia="SimSun"/>
          <w:bCs/>
          <w:sz w:val="22"/>
          <w:szCs w:val="20"/>
        </w:rPr>
        <w:t xml:space="preserve"> from estimation loss due the</w:t>
      </w:r>
      <w:r w:rsidR="00F6199E">
        <w:rPr>
          <w:rFonts w:eastAsia="SimSun"/>
          <w:bCs/>
          <w:sz w:val="22"/>
          <w:szCs w:val="20"/>
        </w:rPr>
        <w:t xml:space="preserve"> </w:t>
      </w:r>
      <w:r>
        <w:rPr>
          <w:rFonts w:eastAsia="SimSun"/>
          <w:bCs/>
          <w:sz w:val="22"/>
          <w:szCs w:val="20"/>
        </w:rPr>
        <w:t>presence of both interference and desirable signals. Therefore, we have the following proposal</w:t>
      </w:r>
    </w:p>
    <w:p w14:paraId="4347F6C2" w14:textId="77777777" w:rsidR="004F2A6C" w:rsidRDefault="004F2A6C" w:rsidP="00640ACB">
      <w:pPr>
        <w:jc w:val="both"/>
        <w:rPr>
          <w:rFonts w:eastAsia="SimSun"/>
          <w:bCs/>
          <w:sz w:val="22"/>
          <w:szCs w:val="20"/>
        </w:rPr>
      </w:pPr>
    </w:p>
    <w:p w14:paraId="050C2762" w14:textId="4C23F314" w:rsidR="0059749D" w:rsidRPr="009827B5" w:rsidRDefault="006864DE" w:rsidP="0059749D">
      <w:pPr>
        <w:rPr>
          <w:rFonts w:eastAsia="Times New Roman"/>
          <w:b/>
          <w:i/>
          <w:sz w:val="22"/>
          <w:szCs w:val="22"/>
          <w:u w:val="single"/>
        </w:rPr>
      </w:pPr>
      <w:r w:rsidRPr="009827B5">
        <w:rPr>
          <w:rFonts w:eastAsia="SimSun"/>
          <w:b/>
          <w:bCs/>
          <w:i/>
          <w:sz w:val="22"/>
          <w:szCs w:val="22"/>
          <w:u w:val="single"/>
        </w:rPr>
        <w:t>Proposal 6:</w:t>
      </w:r>
      <w:r w:rsidRPr="009827B5">
        <w:rPr>
          <w:rFonts w:eastAsia="SimSun"/>
          <w:b/>
          <w:bCs/>
          <w:i/>
          <w:sz w:val="22"/>
          <w:szCs w:val="22"/>
        </w:rPr>
        <w:t xml:space="preserve"> </w:t>
      </w:r>
      <w:r w:rsidRPr="009827B5">
        <w:rPr>
          <w:b/>
          <w:i/>
          <w:sz w:val="22"/>
          <w:szCs w:val="22"/>
        </w:rPr>
        <w:t xml:space="preserve">Regarding SCell BFR L1-SINR, , </w:t>
      </w:r>
      <w:r w:rsidR="0059749D" w:rsidRPr="009827B5">
        <w:rPr>
          <w:rFonts w:eastAsia="Times New Roman"/>
          <w:b/>
          <w:i/>
          <w:sz w:val="22"/>
          <w:szCs w:val="22"/>
        </w:rPr>
        <w:t>ZP IMR should be supported, and the support of NZP IMR is optional. </w:t>
      </w:r>
    </w:p>
    <w:p w14:paraId="2896E657" w14:textId="2DF29AD0" w:rsidR="00854A60" w:rsidRPr="00FB330B" w:rsidRDefault="009C5A97" w:rsidP="00FB330B">
      <w:pPr>
        <w:pStyle w:val="Heading1"/>
      </w:pPr>
      <w:r w:rsidRPr="00FB330B">
        <w:t>Conclusion</w:t>
      </w:r>
    </w:p>
    <w:p w14:paraId="2D22D084" w14:textId="661F2FF0" w:rsidR="00981043" w:rsidRPr="002310F8" w:rsidRDefault="002310F8" w:rsidP="00981043">
      <w:pPr>
        <w:rPr>
          <w:rFonts w:eastAsia="MS Mincho"/>
          <w:sz w:val="22"/>
          <w:lang w:eastAsia="ja-JP"/>
        </w:rPr>
      </w:pPr>
      <w:r w:rsidRPr="00146387">
        <w:rPr>
          <w:rFonts w:eastAsia="MS Mincho"/>
          <w:sz w:val="22"/>
          <w:lang w:eastAsia="ja-JP"/>
        </w:rPr>
        <w:t>In this contribution, we provide our view on</w:t>
      </w:r>
      <w:r>
        <w:rPr>
          <w:rFonts w:eastAsia="MS Mincho"/>
          <w:sz w:val="22"/>
          <w:lang w:eastAsia="ja-JP"/>
        </w:rPr>
        <w:t xml:space="preserve"> </w:t>
      </w:r>
      <w:r w:rsidRPr="00146387">
        <w:rPr>
          <w:rFonts w:eastAsia="MS Mincho"/>
          <w:sz w:val="22"/>
          <w:lang w:eastAsia="ja-JP"/>
        </w:rPr>
        <w:t xml:space="preserve">Rel-16 MIMO enhancement WI </w:t>
      </w:r>
      <w:r>
        <w:rPr>
          <w:rFonts w:eastAsia="MS Mincho"/>
          <w:sz w:val="22"/>
          <w:lang w:eastAsia="ja-JP"/>
        </w:rPr>
        <w:t>including the MPE issue, mechanism to reduce beam management latency and overhead and SCell BFR .</w:t>
      </w:r>
      <w:r w:rsidR="00981043">
        <w:rPr>
          <w:sz w:val="22"/>
          <w:szCs w:val="22"/>
        </w:rPr>
        <w:t xml:space="preserve">, with the following proposals </w:t>
      </w:r>
    </w:p>
    <w:p w14:paraId="2121B24F" w14:textId="77777777" w:rsidR="00981043" w:rsidRDefault="00981043" w:rsidP="00C40BF9">
      <w:pPr>
        <w:jc w:val="both"/>
        <w:rPr>
          <w:rFonts w:eastAsia="MS Mincho"/>
          <w:sz w:val="22"/>
          <w:szCs w:val="22"/>
          <w:lang w:eastAsia="ja-JP"/>
        </w:rPr>
      </w:pPr>
    </w:p>
    <w:p w14:paraId="078AC5B5" w14:textId="016A971C" w:rsidR="000C3844" w:rsidRDefault="000C3844" w:rsidP="000C3844">
      <w:pPr>
        <w:rPr>
          <w:b/>
          <w:i/>
          <w:sz w:val="22"/>
          <w:szCs w:val="20"/>
        </w:rPr>
      </w:pPr>
      <w:r w:rsidRPr="00D52DCE">
        <w:rPr>
          <w:b/>
          <w:i/>
          <w:sz w:val="22"/>
          <w:szCs w:val="20"/>
          <w:u w:val="single"/>
        </w:rPr>
        <w:t xml:space="preserve">Proposal </w:t>
      </w:r>
      <w:r w:rsidR="00091999">
        <w:rPr>
          <w:b/>
          <w:i/>
          <w:sz w:val="22"/>
          <w:szCs w:val="20"/>
          <w:u w:val="single"/>
        </w:rPr>
        <w:t>1</w:t>
      </w:r>
      <w:r w:rsidRPr="00D52DCE">
        <w:rPr>
          <w:b/>
          <w:i/>
          <w:sz w:val="22"/>
          <w:szCs w:val="20"/>
        </w:rPr>
        <w:t xml:space="preserve">: NR </w:t>
      </w:r>
      <w:r>
        <w:rPr>
          <w:b/>
          <w:i/>
          <w:sz w:val="22"/>
          <w:szCs w:val="20"/>
        </w:rPr>
        <w:t xml:space="preserve">supports </w:t>
      </w:r>
      <w:r w:rsidRPr="00D52DCE">
        <w:rPr>
          <w:b/>
          <w:i/>
          <w:sz w:val="22"/>
          <w:szCs w:val="20"/>
        </w:rPr>
        <w:t xml:space="preserve">beam management </w:t>
      </w:r>
      <w:r>
        <w:rPr>
          <w:b/>
          <w:i/>
          <w:sz w:val="22"/>
          <w:szCs w:val="20"/>
        </w:rPr>
        <w:t>enhancement to resolve MPE issue</w:t>
      </w:r>
    </w:p>
    <w:p w14:paraId="5762180D" w14:textId="77777777" w:rsidR="007F0449" w:rsidRPr="00D52DCE" w:rsidRDefault="007F0449" w:rsidP="007F0449">
      <w:pPr>
        <w:rPr>
          <w:rFonts w:eastAsia="MS Mincho"/>
          <w:b/>
          <w:i/>
          <w:sz w:val="22"/>
          <w:szCs w:val="22"/>
          <w:lang w:eastAsia="ja-JP"/>
        </w:rPr>
      </w:pPr>
    </w:p>
    <w:p w14:paraId="7610F979" w14:textId="6964129F" w:rsidR="007F0449" w:rsidRPr="00D52DCE" w:rsidRDefault="007F0449" w:rsidP="007F0449">
      <w:pPr>
        <w:rPr>
          <w:rFonts w:eastAsia="SimSun"/>
          <w:b/>
          <w:i/>
          <w:sz w:val="22"/>
          <w:szCs w:val="22"/>
        </w:rPr>
      </w:pPr>
      <w:r w:rsidRPr="00D52DCE">
        <w:rPr>
          <w:rFonts w:eastAsia="SimSun"/>
          <w:b/>
          <w:bCs/>
          <w:i/>
          <w:sz w:val="22"/>
          <w:szCs w:val="22"/>
          <w:u w:val="single"/>
        </w:rPr>
        <w:t xml:space="preserve">Proposal </w:t>
      </w:r>
      <w:r w:rsidR="00091999">
        <w:rPr>
          <w:rFonts w:eastAsia="SimSun"/>
          <w:b/>
          <w:bCs/>
          <w:i/>
          <w:sz w:val="22"/>
          <w:szCs w:val="22"/>
          <w:u w:val="single"/>
        </w:rPr>
        <w:t>2</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supports separate beam measurement report for DL and UL beam management</w:t>
      </w:r>
    </w:p>
    <w:p w14:paraId="043F888E" w14:textId="77777777" w:rsidR="007F0449" w:rsidRPr="00D52DCE" w:rsidRDefault="007F0449" w:rsidP="007F0449">
      <w:pPr>
        <w:rPr>
          <w:sz w:val="22"/>
          <w:szCs w:val="22"/>
        </w:rPr>
      </w:pPr>
    </w:p>
    <w:p w14:paraId="14665654" w14:textId="57C877A8" w:rsidR="007F0449" w:rsidRPr="00D52DCE" w:rsidRDefault="007F0449" w:rsidP="007F0449">
      <w:pPr>
        <w:rPr>
          <w:rFonts w:eastAsia="SimSun"/>
          <w:b/>
          <w:i/>
          <w:sz w:val="22"/>
          <w:szCs w:val="22"/>
        </w:rPr>
      </w:pPr>
      <w:r w:rsidRPr="00D52DCE">
        <w:rPr>
          <w:rFonts w:eastAsia="SimSun"/>
          <w:b/>
          <w:bCs/>
          <w:i/>
          <w:sz w:val="22"/>
          <w:szCs w:val="22"/>
          <w:u w:val="single"/>
        </w:rPr>
        <w:t>Proposal</w:t>
      </w:r>
      <w:r w:rsidR="00091999">
        <w:rPr>
          <w:rFonts w:eastAsia="SimSun"/>
          <w:b/>
          <w:bCs/>
          <w:i/>
          <w:sz w:val="22"/>
          <w:szCs w:val="22"/>
          <w:u w:val="single"/>
        </w:rPr>
        <w:t xml:space="preserve"> 3</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considers relaxation of the UL beam indication requirement by providing a UE with more flexibility in terms of choosing the UL beam.</w:t>
      </w:r>
    </w:p>
    <w:p w14:paraId="2B40B6EF" w14:textId="77777777" w:rsidR="00EC2CE4" w:rsidRPr="00D52DCE" w:rsidRDefault="00EC2CE4" w:rsidP="00854A60">
      <w:pPr>
        <w:rPr>
          <w:sz w:val="22"/>
          <w:szCs w:val="22"/>
        </w:rPr>
      </w:pPr>
    </w:p>
    <w:p w14:paraId="5447BB35" w14:textId="67B759FA" w:rsidR="007F0449" w:rsidRDefault="007F0449" w:rsidP="007F0449">
      <w:pPr>
        <w:rPr>
          <w:rFonts w:eastAsia="SimSun"/>
          <w:b/>
          <w:i/>
          <w:sz w:val="22"/>
          <w:szCs w:val="22"/>
        </w:rPr>
      </w:pPr>
      <w:r w:rsidRPr="00D52DCE">
        <w:rPr>
          <w:rFonts w:eastAsia="SimSun"/>
          <w:b/>
          <w:bCs/>
          <w:i/>
          <w:sz w:val="22"/>
          <w:szCs w:val="22"/>
          <w:u w:val="single"/>
        </w:rPr>
        <w:t xml:space="preserve">Proposal </w:t>
      </w:r>
      <w:r w:rsidR="00091999">
        <w:rPr>
          <w:rFonts w:eastAsia="SimSun"/>
          <w:b/>
          <w:bCs/>
          <w:i/>
          <w:sz w:val="22"/>
          <w:szCs w:val="22"/>
          <w:u w:val="single"/>
        </w:rPr>
        <w:t>4</w:t>
      </w:r>
      <w:r w:rsidRPr="00D52DCE">
        <w:rPr>
          <w:rFonts w:eastAsia="SimSun"/>
          <w:bCs/>
          <w:i/>
          <w:sz w:val="22"/>
          <w:szCs w:val="22"/>
        </w:rPr>
        <w:t xml:space="preserve">: </w:t>
      </w:r>
      <w:r w:rsidRPr="00D52DCE">
        <w:rPr>
          <w:rFonts w:eastAsia="SimSun"/>
          <w:b/>
          <w:i/>
          <w:sz w:val="22"/>
          <w:szCs w:val="22"/>
        </w:rPr>
        <w:t>Rel-16 NR</w:t>
      </w:r>
      <w:r w:rsidRPr="00D52DCE">
        <w:rPr>
          <w:sz w:val="22"/>
          <w:szCs w:val="22"/>
        </w:rPr>
        <w:t xml:space="preserve"> </w:t>
      </w:r>
      <w:r w:rsidRPr="00D52DCE">
        <w:rPr>
          <w:rFonts w:eastAsia="SimSun"/>
          <w:b/>
          <w:i/>
          <w:sz w:val="22"/>
          <w:szCs w:val="22"/>
        </w:rPr>
        <w:t>considers enhancement of the DL beam measurement report to reflect DL/UL discrepancy. Details on enhancement, such as separate ranking, PHR reporting, Tx power back reporting, etc., are FFS.</w:t>
      </w:r>
    </w:p>
    <w:p w14:paraId="0003BF24" w14:textId="2AC86A19" w:rsidR="0042631C" w:rsidRDefault="0042631C" w:rsidP="007F0449">
      <w:pPr>
        <w:rPr>
          <w:rFonts w:eastAsia="SimSun"/>
          <w:b/>
          <w:i/>
          <w:sz w:val="22"/>
          <w:szCs w:val="22"/>
        </w:rPr>
      </w:pPr>
    </w:p>
    <w:p w14:paraId="659B0664" w14:textId="6B61E73E" w:rsidR="0042631C" w:rsidRPr="006864DE" w:rsidRDefault="0042631C" w:rsidP="0085375B">
      <w:pPr>
        <w:jc w:val="both"/>
        <w:rPr>
          <w:b/>
          <w:i/>
          <w:sz w:val="22"/>
          <w:szCs w:val="20"/>
        </w:rPr>
      </w:pPr>
      <w:r w:rsidRPr="006864DE">
        <w:rPr>
          <w:rFonts w:eastAsia="SimSun"/>
          <w:b/>
          <w:bCs/>
          <w:i/>
          <w:sz w:val="22"/>
          <w:szCs w:val="20"/>
          <w:u w:val="single"/>
        </w:rPr>
        <w:t>Proposal 5</w:t>
      </w:r>
      <w:r w:rsidRPr="006864DE">
        <w:rPr>
          <w:rFonts w:eastAsia="SimSun"/>
          <w:bCs/>
          <w:i/>
          <w:sz w:val="22"/>
          <w:szCs w:val="20"/>
        </w:rPr>
        <w:t xml:space="preserve">: </w:t>
      </w:r>
      <w:r w:rsidRPr="006864DE">
        <w:rPr>
          <w:b/>
          <w:i/>
          <w:sz w:val="22"/>
          <w:szCs w:val="20"/>
        </w:rPr>
        <w:t>NR to support UE event based aperiodic beam measurement reporting. FFS: the detailed events and configurations</w:t>
      </w:r>
    </w:p>
    <w:p w14:paraId="25F134E7" w14:textId="318753AA" w:rsidR="006864DE" w:rsidRDefault="006864DE" w:rsidP="0085375B">
      <w:pPr>
        <w:jc w:val="both"/>
        <w:rPr>
          <w:b/>
          <w:i/>
          <w:sz w:val="20"/>
          <w:szCs w:val="20"/>
        </w:rPr>
      </w:pPr>
    </w:p>
    <w:p w14:paraId="2FA1811E" w14:textId="79EF61EC" w:rsidR="006864DE" w:rsidRPr="009827B5" w:rsidRDefault="009827B5" w:rsidP="009827B5">
      <w:pPr>
        <w:rPr>
          <w:rFonts w:eastAsia="Times New Roman"/>
          <w:b/>
          <w:i/>
          <w:sz w:val="22"/>
          <w:szCs w:val="22"/>
          <w:u w:val="single"/>
        </w:rPr>
      </w:pPr>
      <w:r w:rsidRPr="009827B5">
        <w:rPr>
          <w:rFonts w:eastAsia="SimSun"/>
          <w:b/>
          <w:bCs/>
          <w:i/>
          <w:sz w:val="22"/>
          <w:szCs w:val="22"/>
          <w:u w:val="single"/>
        </w:rPr>
        <w:t>Proposal 6:</w:t>
      </w:r>
      <w:r w:rsidRPr="009827B5">
        <w:rPr>
          <w:rFonts w:eastAsia="SimSun"/>
          <w:b/>
          <w:bCs/>
          <w:i/>
          <w:sz w:val="22"/>
          <w:szCs w:val="22"/>
        </w:rPr>
        <w:t xml:space="preserve"> </w:t>
      </w:r>
      <w:r w:rsidRPr="009827B5">
        <w:rPr>
          <w:b/>
          <w:i/>
          <w:sz w:val="22"/>
          <w:szCs w:val="22"/>
        </w:rPr>
        <w:t xml:space="preserve">Regarding SCell BFR L1-SINR, , </w:t>
      </w:r>
      <w:r w:rsidRPr="009827B5">
        <w:rPr>
          <w:rFonts w:eastAsia="Times New Roman"/>
          <w:b/>
          <w:i/>
          <w:sz w:val="22"/>
          <w:szCs w:val="22"/>
        </w:rPr>
        <w:t>ZP IMR should be supported, and the support of NZP IMR is optional. </w:t>
      </w:r>
    </w:p>
    <w:p w14:paraId="2E75F001" w14:textId="77777777" w:rsidR="007E70BB" w:rsidRPr="007E70BB" w:rsidRDefault="005C63AE" w:rsidP="007E70BB">
      <w:pPr>
        <w:pStyle w:val="Heading1"/>
      </w:pPr>
      <w:r>
        <w:t>References</w:t>
      </w:r>
    </w:p>
    <w:p w14:paraId="4E688177" w14:textId="014BDB3C" w:rsidR="00E12FCB" w:rsidRPr="00EF4C95" w:rsidRDefault="0037493F" w:rsidP="00792F3A">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2"/>
    </w:p>
    <w:p w14:paraId="49E1B1BF" w14:textId="2F7F95E2" w:rsidR="00FA7266" w:rsidRDefault="00FA7266" w:rsidP="00E12FC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3" w:name="_Ref4766721"/>
      <w:r w:rsidRPr="00FA7266">
        <w:rPr>
          <w:sz w:val="22"/>
          <w:szCs w:val="22"/>
        </w:rPr>
        <w:t>R1-1903843</w:t>
      </w:r>
      <w:r>
        <w:rPr>
          <w:sz w:val="22"/>
          <w:szCs w:val="22"/>
        </w:rPr>
        <w:t>, “</w:t>
      </w:r>
      <w:r w:rsidRPr="00FA7266">
        <w:rPr>
          <w:sz w:val="22"/>
          <w:szCs w:val="22"/>
        </w:rPr>
        <w:t>LS on FR2 RF Exposure mitigation methods</w:t>
      </w:r>
      <w:r>
        <w:rPr>
          <w:sz w:val="22"/>
          <w:szCs w:val="22"/>
        </w:rPr>
        <w:t>,” 3GPP RAN1 #96bis, April 2019</w:t>
      </w:r>
      <w:bookmarkEnd w:id="3"/>
    </w:p>
    <w:p w14:paraId="4CA5C7B5" w14:textId="6067F7F6" w:rsidR="00E606F4" w:rsidRPr="007E0408" w:rsidRDefault="00E606F4" w:rsidP="00E12FC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4" w:name="_Ref4767149"/>
      <w:r w:rsidRPr="00E606F4">
        <w:rPr>
          <w:sz w:val="22"/>
          <w:szCs w:val="22"/>
        </w:rPr>
        <w:lastRenderedPageBreak/>
        <w:t>RP-190704</w:t>
      </w:r>
      <w:r>
        <w:rPr>
          <w:sz w:val="22"/>
          <w:szCs w:val="22"/>
        </w:rPr>
        <w:t>, “</w:t>
      </w:r>
      <w:r w:rsidRPr="00E606F4">
        <w:rPr>
          <w:sz w:val="22"/>
          <w:szCs w:val="22"/>
        </w:rPr>
        <w:t>Update of RAN4 UE feature list for REL-15 NR</w:t>
      </w:r>
      <w:r>
        <w:rPr>
          <w:sz w:val="22"/>
          <w:szCs w:val="22"/>
        </w:rPr>
        <w:t>,” NTT DOCOMO, 3GPP RAN #83, March 2019</w:t>
      </w:r>
      <w:bookmarkEnd w:id="4"/>
    </w:p>
    <w:p w14:paraId="03739B67" w14:textId="0D48FAAB" w:rsidR="005C6881" w:rsidRPr="00421D5E" w:rsidRDefault="005C6881" w:rsidP="005C688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#96</w:t>
      </w:r>
      <w:r>
        <w:rPr>
          <w:sz w:val="22"/>
          <w:szCs w:val="22"/>
        </w:rPr>
        <w:t xml:space="preserve">b, </w:t>
      </w:r>
      <w:r w:rsidR="007F1FAB">
        <w:rPr>
          <w:sz w:val="22"/>
          <w:szCs w:val="22"/>
        </w:rPr>
        <w:t>Xian</w:t>
      </w:r>
      <w:r w:rsidRPr="00CB7BB7">
        <w:rPr>
          <w:sz w:val="22"/>
          <w:szCs w:val="22"/>
        </w:rPr>
        <w:t xml:space="preserve">, </w:t>
      </w:r>
      <w:r w:rsidR="007F1FAB">
        <w:rPr>
          <w:sz w:val="22"/>
          <w:szCs w:val="22"/>
        </w:rPr>
        <w:t>China</w:t>
      </w:r>
      <w:r w:rsidRPr="00CB7BB7">
        <w:rPr>
          <w:sz w:val="22"/>
          <w:szCs w:val="22"/>
        </w:rPr>
        <w:t xml:space="preserve">, </w:t>
      </w:r>
      <w:r w:rsidR="00AC6E59">
        <w:rPr>
          <w:sz w:val="22"/>
          <w:szCs w:val="22"/>
        </w:rPr>
        <w:t>April</w:t>
      </w:r>
      <w:r w:rsidRPr="00CB7BB7">
        <w:rPr>
          <w:sz w:val="22"/>
          <w:szCs w:val="22"/>
        </w:rPr>
        <w:t xml:space="preserve"> </w:t>
      </w:r>
      <w:r w:rsidR="00AC6E59">
        <w:rPr>
          <w:sz w:val="22"/>
          <w:szCs w:val="22"/>
        </w:rPr>
        <w:t>8</w:t>
      </w:r>
      <w:r w:rsidRPr="00CB7BB7">
        <w:rPr>
          <w:sz w:val="22"/>
          <w:szCs w:val="22"/>
        </w:rPr>
        <w:t xml:space="preserve">th – </w:t>
      </w:r>
      <w:r w:rsidR="00AC6E59">
        <w:rPr>
          <w:sz w:val="22"/>
          <w:szCs w:val="22"/>
        </w:rPr>
        <w:t>April</w:t>
      </w:r>
      <w:r w:rsidRPr="00CB7BB7">
        <w:rPr>
          <w:sz w:val="22"/>
          <w:szCs w:val="22"/>
        </w:rPr>
        <w:t xml:space="preserve"> </w:t>
      </w:r>
      <w:r w:rsidR="00AC6E59">
        <w:rPr>
          <w:sz w:val="22"/>
          <w:szCs w:val="22"/>
        </w:rPr>
        <w:t>12th</w:t>
      </w:r>
      <w:r w:rsidRPr="00CB7BB7">
        <w:rPr>
          <w:sz w:val="22"/>
          <w:szCs w:val="22"/>
        </w:rPr>
        <w:t>, 2019</w:t>
      </w:r>
    </w:p>
    <w:p w14:paraId="5FF14958" w14:textId="7F788A8F" w:rsidR="00DF7C82" w:rsidRPr="007F05D7" w:rsidRDefault="00DF7C82" w:rsidP="006B5825">
      <w:pPr>
        <w:overflowPunct w:val="0"/>
        <w:autoSpaceDE w:val="0"/>
        <w:autoSpaceDN w:val="0"/>
        <w:adjustRightInd w:val="0"/>
        <w:spacing w:before="100" w:beforeAutospacing="1" w:after="100" w:afterAutospacing="1"/>
        <w:ind w:left="562"/>
        <w:textAlignment w:val="baseline"/>
        <w:rPr>
          <w:sz w:val="22"/>
          <w:szCs w:val="22"/>
        </w:rPr>
      </w:pPr>
    </w:p>
    <w:sectPr w:rsidR="00DF7C82" w:rsidRPr="007F05D7"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83B52" w14:textId="77777777" w:rsidR="004B795B" w:rsidRDefault="004B795B">
      <w:r>
        <w:separator/>
      </w:r>
    </w:p>
  </w:endnote>
  <w:endnote w:type="continuationSeparator" w:id="0">
    <w:p w14:paraId="31F8CD9B" w14:textId="77777777" w:rsidR="004B795B" w:rsidRDefault="004B795B">
      <w:r>
        <w:continuationSeparator/>
      </w:r>
    </w:p>
  </w:endnote>
  <w:endnote w:type="continuationNotice" w:id="1">
    <w:p w14:paraId="2CE9A9BE" w14:textId="77777777" w:rsidR="004B795B" w:rsidRDefault="004B7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312D2" w14:textId="77777777" w:rsidR="004B795B" w:rsidRDefault="004B795B">
      <w:r>
        <w:separator/>
      </w:r>
    </w:p>
  </w:footnote>
  <w:footnote w:type="continuationSeparator" w:id="0">
    <w:p w14:paraId="672F1FB2" w14:textId="77777777" w:rsidR="004B795B" w:rsidRDefault="004B795B">
      <w:r>
        <w:continuationSeparator/>
      </w:r>
    </w:p>
  </w:footnote>
  <w:footnote w:type="continuationNotice" w:id="1">
    <w:p w14:paraId="4A249347" w14:textId="77777777" w:rsidR="004B795B" w:rsidRDefault="004B79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CC48C9"/>
    <w:multiLevelType w:val="hybridMultilevel"/>
    <w:tmpl w:val="03869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70740"/>
    <w:multiLevelType w:val="hybridMultilevel"/>
    <w:tmpl w:val="9B465680"/>
    <w:lvl w:ilvl="0" w:tplc="D3D8C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B4A3F"/>
    <w:multiLevelType w:val="hybridMultilevel"/>
    <w:tmpl w:val="03869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E10366"/>
    <w:multiLevelType w:val="multilevel"/>
    <w:tmpl w:val="99BAE8F2"/>
    <w:lvl w:ilvl="0">
      <w:start w:val="1"/>
      <w:numFmt w:val="decimal"/>
      <w:lvlText w:val="%1."/>
      <w:lvlJc w:val="left"/>
      <w:pPr>
        <w:ind w:left="720" w:hanging="360"/>
      </w:pPr>
      <w:rPr>
        <w:rFonts w:hint="default"/>
      </w:rPr>
    </w:lvl>
    <w:lvl w:ilvl="1">
      <w:start w:val="2"/>
      <w:numFmt w:val="decimal"/>
      <w:isLgl/>
      <w:lvlText w:val="%1.%2"/>
      <w:lvlJc w:val="left"/>
      <w:pPr>
        <w:ind w:left="1152"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2088"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3024" w:hanging="2160"/>
      </w:pPr>
      <w:rPr>
        <w:rFonts w:hint="default"/>
      </w:rPr>
    </w:lvl>
    <w:lvl w:ilvl="8">
      <w:start w:val="1"/>
      <w:numFmt w:val="decimal"/>
      <w:isLgl/>
      <w:lvlText w:val="%1.%2.%3.%4.%5.%6.%7.%8.%9"/>
      <w:lvlJc w:val="left"/>
      <w:pPr>
        <w:ind w:left="3456" w:hanging="2520"/>
      </w:pPr>
      <w:rPr>
        <w:rFonts w:hint="default"/>
      </w:rPr>
    </w:lvl>
  </w:abstractNum>
  <w:abstractNum w:abstractNumId="31"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0"/>
  </w:num>
  <w:num w:numId="3">
    <w:abstractNumId w:val="13"/>
  </w:num>
  <w:num w:numId="4">
    <w:abstractNumId w:val="14"/>
  </w:num>
  <w:num w:numId="5">
    <w:abstractNumId w:val="7"/>
  </w:num>
  <w:num w:numId="6">
    <w:abstractNumId w:val="18"/>
  </w:num>
  <w:num w:numId="7">
    <w:abstractNumId w:val="25"/>
  </w:num>
  <w:num w:numId="8">
    <w:abstractNumId w:val="9"/>
  </w:num>
  <w:num w:numId="9">
    <w:abstractNumId w:val="22"/>
  </w:num>
  <w:num w:numId="10">
    <w:abstractNumId w:val="0"/>
  </w:num>
  <w:num w:numId="11">
    <w:abstractNumId w:val="17"/>
  </w:num>
  <w:num w:numId="12">
    <w:abstractNumId w:val="6"/>
  </w:num>
  <w:num w:numId="13">
    <w:abstractNumId w:val="27"/>
  </w:num>
  <w:num w:numId="14">
    <w:abstractNumId w:val="31"/>
  </w:num>
  <w:num w:numId="15">
    <w:abstractNumId w:val="23"/>
  </w:num>
  <w:num w:numId="16">
    <w:abstractNumId w:val="21"/>
  </w:num>
  <w:num w:numId="17">
    <w:abstractNumId w:val="3"/>
  </w:num>
  <w:num w:numId="18">
    <w:abstractNumId w:val="26"/>
  </w:num>
  <w:num w:numId="19">
    <w:abstractNumId w:val="5"/>
  </w:num>
  <w:num w:numId="20">
    <w:abstractNumId w:val="29"/>
  </w:num>
  <w:num w:numId="21">
    <w:abstractNumId w:val="16"/>
  </w:num>
  <w:num w:numId="22">
    <w:abstractNumId w:val="15"/>
  </w:num>
  <w:num w:numId="23">
    <w:abstractNumId w:val="4"/>
  </w:num>
  <w:num w:numId="24">
    <w:abstractNumId w:val="30"/>
  </w:num>
  <w:num w:numId="25">
    <w:abstractNumId w:val="1"/>
  </w:num>
  <w:num w:numId="26">
    <w:abstractNumId w:val="8"/>
  </w:num>
  <w:num w:numId="27">
    <w:abstractNumId w:val="19"/>
  </w:num>
  <w:num w:numId="28">
    <w:abstractNumId w:val="10"/>
  </w:num>
  <w:num w:numId="29">
    <w:abstractNumId w:val="11"/>
  </w:num>
  <w:num w:numId="30">
    <w:abstractNumId w:val="12"/>
  </w:num>
  <w:num w:numId="31">
    <w:abstractNumId w:val="24"/>
  </w:num>
  <w:num w:numId="32">
    <w:abstractNumId w:val="28"/>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47DF5"/>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58"/>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1999"/>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844"/>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0F7F98"/>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0E8"/>
    <w:rsid w:val="001405B9"/>
    <w:rsid w:val="00140CDB"/>
    <w:rsid w:val="00140FC4"/>
    <w:rsid w:val="001426A2"/>
    <w:rsid w:val="00142E5E"/>
    <w:rsid w:val="00143656"/>
    <w:rsid w:val="00143695"/>
    <w:rsid w:val="00143DDE"/>
    <w:rsid w:val="00144892"/>
    <w:rsid w:val="00144A2C"/>
    <w:rsid w:val="00144A81"/>
    <w:rsid w:val="00144AA0"/>
    <w:rsid w:val="00146296"/>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4EE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287F"/>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60A"/>
    <w:rsid w:val="001C4924"/>
    <w:rsid w:val="001C5118"/>
    <w:rsid w:val="001C5574"/>
    <w:rsid w:val="001C5726"/>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196"/>
    <w:rsid w:val="001F54C5"/>
    <w:rsid w:val="001F5784"/>
    <w:rsid w:val="001F5AB3"/>
    <w:rsid w:val="001F662C"/>
    <w:rsid w:val="001F7074"/>
    <w:rsid w:val="00200490"/>
    <w:rsid w:val="00200A3B"/>
    <w:rsid w:val="00200DDF"/>
    <w:rsid w:val="00200E3E"/>
    <w:rsid w:val="00200F80"/>
    <w:rsid w:val="002010D6"/>
    <w:rsid w:val="00201632"/>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0F8"/>
    <w:rsid w:val="0023123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0FFC"/>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029"/>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8E1"/>
    <w:rsid w:val="00344FB1"/>
    <w:rsid w:val="00345569"/>
    <w:rsid w:val="00345864"/>
    <w:rsid w:val="00345924"/>
    <w:rsid w:val="00346574"/>
    <w:rsid w:val="0034690A"/>
    <w:rsid w:val="00346AA0"/>
    <w:rsid w:val="00346DB5"/>
    <w:rsid w:val="00346DD7"/>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0AD4"/>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415"/>
    <w:rsid w:val="003E55E4"/>
    <w:rsid w:val="003E5D31"/>
    <w:rsid w:val="003E6208"/>
    <w:rsid w:val="003E64FD"/>
    <w:rsid w:val="003E6BC9"/>
    <w:rsid w:val="003E74E3"/>
    <w:rsid w:val="003E7BA5"/>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38D"/>
    <w:rsid w:val="0042484F"/>
    <w:rsid w:val="00424C2D"/>
    <w:rsid w:val="0042524E"/>
    <w:rsid w:val="0042546A"/>
    <w:rsid w:val="00425743"/>
    <w:rsid w:val="00425750"/>
    <w:rsid w:val="0042631C"/>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95B"/>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068"/>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6C"/>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C9"/>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607"/>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343"/>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0F52"/>
    <w:rsid w:val="0056121F"/>
    <w:rsid w:val="00561658"/>
    <w:rsid w:val="005617CF"/>
    <w:rsid w:val="00561C13"/>
    <w:rsid w:val="00561D43"/>
    <w:rsid w:val="005623B3"/>
    <w:rsid w:val="00562990"/>
    <w:rsid w:val="00562A71"/>
    <w:rsid w:val="00562EB7"/>
    <w:rsid w:val="00563697"/>
    <w:rsid w:val="00563AEB"/>
    <w:rsid w:val="00563B30"/>
    <w:rsid w:val="0056579B"/>
    <w:rsid w:val="00565E6C"/>
    <w:rsid w:val="005671AD"/>
    <w:rsid w:val="00567664"/>
    <w:rsid w:val="00567F21"/>
    <w:rsid w:val="00567F55"/>
    <w:rsid w:val="00570BE9"/>
    <w:rsid w:val="00570DAC"/>
    <w:rsid w:val="00570F73"/>
    <w:rsid w:val="00570F99"/>
    <w:rsid w:val="005713F2"/>
    <w:rsid w:val="00572505"/>
    <w:rsid w:val="00572648"/>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49D"/>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365"/>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881"/>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2798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15"/>
    <w:rsid w:val="0064023C"/>
    <w:rsid w:val="0064099F"/>
    <w:rsid w:val="00640ACB"/>
    <w:rsid w:val="00640CEE"/>
    <w:rsid w:val="0064151F"/>
    <w:rsid w:val="00641533"/>
    <w:rsid w:val="00641997"/>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64DE"/>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5825"/>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0D0"/>
    <w:rsid w:val="007552B3"/>
    <w:rsid w:val="00755317"/>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F3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0D2"/>
    <w:rsid w:val="007B51DF"/>
    <w:rsid w:val="007B54A2"/>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449"/>
    <w:rsid w:val="007F05D7"/>
    <w:rsid w:val="007F0B67"/>
    <w:rsid w:val="007F1388"/>
    <w:rsid w:val="007F1713"/>
    <w:rsid w:val="007F1D05"/>
    <w:rsid w:val="007F1FAB"/>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A53"/>
    <w:rsid w:val="00807786"/>
    <w:rsid w:val="00810C88"/>
    <w:rsid w:val="00810D6C"/>
    <w:rsid w:val="00811F01"/>
    <w:rsid w:val="00811F3E"/>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6F"/>
    <w:rsid w:val="00820A73"/>
    <w:rsid w:val="0082124D"/>
    <w:rsid w:val="00821DDA"/>
    <w:rsid w:val="00821EFC"/>
    <w:rsid w:val="00821F34"/>
    <w:rsid w:val="00822A3A"/>
    <w:rsid w:val="008235DB"/>
    <w:rsid w:val="00824926"/>
    <w:rsid w:val="00824A93"/>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676"/>
    <w:rsid w:val="00852C9F"/>
    <w:rsid w:val="0085375B"/>
    <w:rsid w:val="00854A60"/>
    <w:rsid w:val="00855B06"/>
    <w:rsid w:val="0085626F"/>
    <w:rsid w:val="00856911"/>
    <w:rsid w:val="00856917"/>
    <w:rsid w:val="00856B1D"/>
    <w:rsid w:val="00856BA4"/>
    <w:rsid w:val="00856DB8"/>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527"/>
    <w:rsid w:val="0087187B"/>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2F4"/>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10"/>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F7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9D9"/>
    <w:rsid w:val="00914178"/>
    <w:rsid w:val="00914AD8"/>
    <w:rsid w:val="009154AA"/>
    <w:rsid w:val="00915975"/>
    <w:rsid w:val="00916079"/>
    <w:rsid w:val="00916569"/>
    <w:rsid w:val="0091692E"/>
    <w:rsid w:val="00916E29"/>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3AE"/>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7AE"/>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043"/>
    <w:rsid w:val="00981B5D"/>
    <w:rsid w:val="009820FD"/>
    <w:rsid w:val="009827B5"/>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13"/>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9D"/>
    <w:rsid w:val="009D3992"/>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06C"/>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3CA1"/>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9E3"/>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094"/>
    <w:rsid w:val="00AB389A"/>
    <w:rsid w:val="00AB3938"/>
    <w:rsid w:val="00AB3A48"/>
    <w:rsid w:val="00AB3F33"/>
    <w:rsid w:val="00AB4AB8"/>
    <w:rsid w:val="00AB4AF9"/>
    <w:rsid w:val="00AB655E"/>
    <w:rsid w:val="00AB7BB9"/>
    <w:rsid w:val="00AB7CCF"/>
    <w:rsid w:val="00AC007F"/>
    <w:rsid w:val="00AC08AA"/>
    <w:rsid w:val="00AC0A93"/>
    <w:rsid w:val="00AC0C93"/>
    <w:rsid w:val="00AC0D3A"/>
    <w:rsid w:val="00AC0FF8"/>
    <w:rsid w:val="00AC1160"/>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6E59"/>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57B"/>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2D24"/>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7AF"/>
    <w:rsid w:val="00BD48AC"/>
    <w:rsid w:val="00BD4CDD"/>
    <w:rsid w:val="00BD4FA5"/>
    <w:rsid w:val="00BD55BF"/>
    <w:rsid w:val="00BD5F1A"/>
    <w:rsid w:val="00BD619F"/>
    <w:rsid w:val="00BD6D53"/>
    <w:rsid w:val="00BD721C"/>
    <w:rsid w:val="00BD7A8B"/>
    <w:rsid w:val="00BD7B8C"/>
    <w:rsid w:val="00BD7F16"/>
    <w:rsid w:val="00BE0841"/>
    <w:rsid w:val="00BE0B97"/>
    <w:rsid w:val="00BE0BF1"/>
    <w:rsid w:val="00BE1234"/>
    <w:rsid w:val="00BE1E63"/>
    <w:rsid w:val="00BE1FD4"/>
    <w:rsid w:val="00BE2FA6"/>
    <w:rsid w:val="00BE333F"/>
    <w:rsid w:val="00BE4430"/>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287"/>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BF9"/>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80F"/>
    <w:rsid w:val="00C8723E"/>
    <w:rsid w:val="00C873BE"/>
    <w:rsid w:val="00C87994"/>
    <w:rsid w:val="00C87996"/>
    <w:rsid w:val="00C87AA7"/>
    <w:rsid w:val="00C90158"/>
    <w:rsid w:val="00C90216"/>
    <w:rsid w:val="00C9027A"/>
    <w:rsid w:val="00C904B3"/>
    <w:rsid w:val="00C9068E"/>
    <w:rsid w:val="00C90D9C"/>
    <w:rsid w:val="00C910C3"/>
    <w:rsid w:val="00C9182E"/>
    <w:rsid w:val="00C91F7D"/>
    <w:rsid w:val="00C91FCB"/>
    <w:rsid w:val="00C92067"/>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671F"/>
    <w:rsid w:val="00CE74E6"/>
    <w:rsid w:val="00CE750C"/>
    <w:rsid w:val="00CE7561"/>
    <w:rsid w:val="00CE7D63"/>
    <w:rsid w:val="00CF1354"/>
    <w:rsid w:val="00CF1397"/>
    <w:rsid w:val="00CF2252"/>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CF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2DCE"/>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2BC7"/>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F14"/>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2FCB"/>
    <w:rsid w:val="00E13163"/>
    <w:rsid w:val="00E134C9"/>
    <w:rsid w:val="00E136DB"/>
    <w:rsid w:val="00E1424B"/>
    <w:rsid w:val="00E14C0B"/>
    <w:rsid w:val="00E1555A"/>
    <w:rsid w:val="00E16887"/>
    <w:rsid w:val="00E168EA"/>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25B6A"/>
    <w:rsid w:val="00E30692"/>
    <w:rsid w:val="00E30B5A"/>
    <w:rsid w:val="00E310AA"/>
    <w:rsid w:val="00E3123D"/>
    <w:rsid w:val="00E31461"/>
    <w:rsid w:val="00E31D43"/>
    <w:rsid w:val="00E32189"/>
    <w:rsid w:val="00E32608"/>
    <w:rsid w:val="00E32950"/>
    <w:rsid w:val="00E33156"/>
    <w:rsid w:val="00E33CDD"/>
    <w:rsid w:val="00E34188"/>
    <w:rsid w:val="00E345CD"/>
    <w:rsid w:val="00E34B61"/>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6F4"/>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2EFC"/>
    <w:rsid w:val="00E73DC7"/>
    <w:rsid w:val="00E74859"/>
    <w:rsid w:val="00E74E73"/>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57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C95"/>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3113"/>
    <w:rsid w:val="00F33BF6"/>
    <w:rsid w:val="00F33F60"/>
    <w:rsid w:val="00F3438E"/>
    <w:rsid w:val="00F35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99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2F0D"/>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66"/>
    <w:rsid w:val="00FA73CB"/>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465777">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2919929">
      <w:bodyDiv w:val="1"/>
      <w:marLeft w:val="0"/>
      <w:marRight w:val="0"/>
      <w:marTop w:val="0"/>
      <w:marBottom w:val="0"/>
      <w:divBdr>
        <w:top w:val="none" w:sz="0" w:space="0" w:color="auto"/>
        <w:left w:val="none" w:sz="0" w:space="0" w:color="auto"/>
        <w:bottom w:val="none" w:sz="0" w:space="0" w:color="auto"/>
        <w:right w:val="none" w:sz="0" w:space="0" w:color="auto"/>
      </w:divBdr>
      <w:divsChild>
        <w:div w:id="1414354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563207">
              <w:marLeft w:val="0"/>
              <w:marRight w:val="0"/>
              <w:marTop w:val="0"/>
              <w:marBottom w:val="0"/>
              <w:divBdr>
                <w:top w:val="none" w:sz="0" w:space="0" w:color="auto"/>
                <w:left w:val="none" w:sz="0" w:space="0" w:color="auto"/>
                <w:bottom w:val="none" w:sz="0" w:space="0" w:color="auto"/>
                <w:right w:val="none" w:sz="0" w:space="0" w:color="auto"/>
              </w:divBdr>
              <w:divsChild>
                <w:div w:id="562719438">
                  <w:marLeft w:val="0"/>
                  <w:marRight w:val="0"/>
                  <w:marTop w:val="0"/>
                  <w:marBottom w:val="0"/>
                  <w:divBdr>
                    <w:top w:val="none" w:sz="0" w:space="0" w:color="auto"/>
                    <w:left w:val="none" w:sz="0" w:space="0" w:color="auto"/>
                    <w:bottom w:val="none" w:sz="0" w:space="0" w:color="auto"/>
                    <w:right w:val="none" w:sz="0" w:space="0" w:color="auto"/>
                  </w:divBdr>
                  <w:divsChild>
                    <w:div w:id="178973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3F2B1-A4A6-9847-BC4D-E9C76742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42</TotalTime>
  <Pages>6</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52</cp:revision>
  <cp:lastPrinted>2008-01-31T16:09:00Z</cp:lastPrinted>
  <dcterms:created xsi:type="dcterms:W3CDTF">2019-03-29T22:39:00Z</dcterms:created>
  <dcterms:modified xsi:type="dcterms:W3CDTF">2019-05-03T21:24:00Z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